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4.jpeg" ContentType="image/jpeg"/>
  <Override PartName="/word/media/image1.wmf" ContentType="image/x-wmf"/>
  <Override PartName="/word/media/image2.jpeg" ContentType="image/jpeg"/>
  <Override PartName="/word/media/image3.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numbering.xml" ContentType="application/vnd.openxmlformats-officedocument.wordprocessingml.number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i/>
          <w:i/>
          <w:sz w:val="28"/>
          <w:szCs w:val="28"/>
        </w:rPr>
      </w:pPr>
      <w:r>
        <w:rPr>
          <w:sz w:val="28"/>
          <w:szCs w:val="28"/>
        </w:rPr>
        <w:t xml:space="preserve">                                                                                                          </w:t>
      </w:r>
      <w:r>
        <w:rPr>
          <w:i/>
          <w:sz w:val="28"/>
          <w:szCs w:val="28"/>
        </w:rPr>
        <w:t xml:space="preserve"> </w:t>
      </w:r>
    </w:p>
    <w:p>
      <w:pPr>
        <w:pStyle w:val="6"/>
        <w:jc w:val="center"/>
        <w:rPr>
          <w:rFonts w:ascii="Arial" w:hAnsi="Arial" w:cs="Arial"/>
          <w:b/>
          <w:b/>
          <w:i w:val="false"/>
          <w:i w:val="false"/>
        </w:rPr>
      </w:pPr>
      <w:r>
        <w:rPr>
          <w:b/>
          <w:i w:val="false"/>
          <w:sz w:val="28"/>
          <w:szCs w:val="28"/>
        </w:rPr>
        <w:t xml:space="preserve"> </w:t>
      </w:r>
      <w:r>
        <w:rPr>
          <w:rFonts w:cs="Arial" w:ascii="Arial" w:hAnsi="Arial"/>
          <w:b/>
          <w:i w:val="false"/>
        </w:rPr>
        <w:t>31.08.2016г.  № 95</w:t>
      </w:r>
    </w:p>
    <w:p>
      <w:pPr>
        <w:pStyle w:val="6"/>
        <w:jc w:val="center"/>
        <w:rPr>
          <w:rFonts w:ascii="Arial" w:hAnsi="Arial" w:cs="Arial"/>
          <w:b/>
          <w:b/>
          <w:i w:val="false"/>
          <w:i w:val="false"/>
        </w:rPr>
      </w:pPr>
      <w:r>
        <w:rPr>
          <w:rFonts w:cs="Arial" w:ascii="Arial" w:hAnsi="Arial"/>
          <w:b/>
          <w:i w:val="false"/>
        </w:rPr>
        <w:t>РОС С И Й С К А Я  Ф Е Д Е Р А Ц И Я</w:t>
      </w:r>
    </w:p>
    <w:p>
      <w:pPr>
        <w:pStyle w:val="Normal"/>
        <w:jc w:val="center"/>
        <w:rPr>
          <w:rFonts w:ascii="Arial" w:hAnsi="Arial" w:cs="Arial"/>
          <w:b/>
          <w:b/>
        </w:rPr>
      </w:pPr>
      <w:r>
        <w:rPr>
          <w:rFonts w:cs="Arial" w:ascii="Arial" w:hAnsi="Arial"/>
          <w:b/>
        </w:rPr>
        <w:t>И Р К У Т С К А Я  О Б Л А С Т Ь</w:t>
      </w:r>
    </w:p>
    <w:p>
      <w:pPr>
        <w:pStyle w:val="Normal"/>
        <w:jc w:val="center"/>
        <w:rPr>
          <w:rFonts w:ascii="Arial" w:hAnsi="Arial" w:cs="Arial"/>
          <w:b/>
          <w:b/>
        </w:rPr>
      </w:pPr>
      <w:r>
        <w:rPr>
          <w:rFonts w:cs="Arial" w:ascii="Arial" w:hAnsi="Arial"/>
          <w:b/>
        </w:rPr>
        <w:t xml:space="preserve"> </w:t>
      </w:r>
      <w:r>
        <w:rPr>
          <w:rFonts w:cs="Arial" w:ascii="Arial" w:hAnsi="Arial"/>
          <w:b/>
        </w:rPr>
        <w:t>МУНИЦИПАЛЬНОЕ ОБРАЗОВАНИЕ«БОХАНСКИЙ РАЙОН»</w:t>
      </w:r>
    </w:p>
    <w:p>
      <w:pPr>
        <w:pStyle w:val="Normal"/>
        <w:jc w:val="center"/>
        <w:rPr>
          <w:rFonts w:ascii="Arial" w:hAnsi="Arial" w:cs="Arial"/>
          <w:b/>
          <w:b/>
        </w:rPr>
      </w:pPr>
      <w:r>
        <w:rPr>
          <w:rFonts w:cs="Arial" w:ascii="Arial" w:hAnsi="Arial"/>
          <w:b/>
        </w:rPr>
        <w:t>ДУМА</w:t>
      </w:r>
    </w:p>
    <w:p>
      <w:pPr>
        <w:pStyle w:val="Normal"/>
        <w:jc w:val="center"/>
        <w:rPr>
          <w:rFonts w:ascii="Arial" w:hAnsi="Arial" w:cs="Arial"/>
          <w:b/>
          <w:b/>
        </w:rPr>
      </w:pPr>
      <w:r>
        <w:rPr>
          <w:rFonts w:cs="Arial" w:ascii="Arial" w:hAnsi="Arial"/>
          <w:b/>
        </w:rPr>
        <w:t>РЕШЕНИЕ</w:t>
      </w:r>
    </w:p>
    <w:p>
      <w:pPr>
        <w:pStyle w:val="Normal"/>
        <w:rPr>
          <w:rFonts w:ascii="Arial" w:hAnsi="Arial" w:cs="Arial"/>
        </w:rPr>
      </w:pPr>
      <w:r>
        <w:rPr>
          <w:rFonts w:cs="Arial" w:ascii="Arial" w:hAnsi="Arial"/>
        </w:rPr>
        <w:t xml:space="preserve">  </w:t>
      </w:r>
    </w:p>
    <w:p>
      <w:pPr>
        <w:pStyle w:val="Normal"/>
        <w:jc w:val="both"/>
        <w:rPr>
          <w:sz w:val="28"/>
          <w:szCs w:val="28"/>
        </w:rPr>
      </w:pPr>
      <w:r>
        <w:rPr>
          <w:b/>
          <w:sz w:val="28"/>
          <w:szCs w:val="28"/>
        </w:rPr>
        <w:t xml:space="preserve"> </w:t>
      </w:r>
    </w:p>
    <w:p>
      <w:pPr>
        <w:pStyle w:val="Normal"/>
        <w:jc w:val="center"/>
        <w:rPr>
          <w:rFonts w:ascii="Arial" w:hAnsi="Arial" w:cs="Arial"/>
        </w:rPr>
      </w:pPr>
      <w:r>
        <w:rPr>
          <w:rFonts w:cs="Arial" w:ascii="Arial" w:hAnsi="Arial"/>
        </w:rPr>
        <w:t>Об утверждении местных нормативов градостроительного проектирования муниципального образования «Боханский район»</w:t>
      </w:r>
    </w:p>
    <w:p>
      <w:pPr>
        <w:pStyle w:val="Normal"/>
        <w:jc w:val="both"/>
        <w:rPr>
          <w:rFonts w:ascii="Arial" w:hAnsi="Arial" w:cs="Arial"/>
        </w:rPr>
      </w:pPr>
      <w:r>
        <w:rPr>
          <w:rFonts w:cs="Arial" w:ascii="Arial" w:hAnsi="Arial"/>
        </w:rPr>
      </w:r>
    </w:p>
    <w:p>
      <w:pPr>
        <w:pStyle w:val="1"/>
        <w:shd w:val="clear" w:color="auto" w:fill="FFFFFF"/>
        <w:spacing w:beforeAutospacing="0" w:before="0" w:afterAutospacing="0" w:after="0"/>
        <w:ind w:firstLine="708"/>
        <w:jc w:val="both"/>
        <w:rPr>
          <w:rFonts w:ascii="Arial" w:hAnsi="Arial" w:cs="Arial"/>
          <w:b w:val="false"/>
          <w:b w:val="false"/>
          <w:sz w:val="24"/>
          <w:szCs w:val="24"/>
        </w:rPr>
      </w:pPr>
      <w:r>
        <w:rPr>
          <w:rFonts w:cs="Arial" w:ascii="Arial" w:hAnsi="Arial"/>
          <w:b w:val="false"/>
          <w:sz w:val="24"/>
          <w:szCs w:val="24"/>
        </w:rPr>
        <w:t xml:space="preserve">  </w:t>
      </w:r>
      <w:r>
        <w:rPr>
          <w:rFonts w:cs="Arial" w:ascii="Arial" w:hAnsi="Arial"/>
          <w:b w:val="false"/>
          <w:sz w:val="24"/>
          <w:szCs w:val="24"/>
        </w:rPr>
        <w:t>На основании  Градостроительного кодекса Российской Федерации, Водного кодекса Российской Федерации, Лесного кодекса Российской Федерации, Федерального закона от 06.10.2003 г.  №131-ФЗ « Об общих принципах организации местного самоуправления в Российской Федерации», Закона Иркутской области от 23.07.2008 г. №59-оз «О градостроительной деятельности на территории Иркутской области»,  согласно Положения о составе, порядке подготовки и утверждения местных нормативов градостроительного проектирования муниципального образования «Боханский район», утвержденного Постановлением администрации муниципального образования «Боханский район» от 02.12.2014 г. № 1003,  руководствуясь ст. ст. 23, 27 Устава муниципального образования  «Боханский район», Дума муниципального образования «Боханский район»</w:t>
      </w:r>
    </w:p>
    <w:p>
      <w:pPr>
        <w:pStyle w:val="1"/>
        <w:shd w:val="clear" w:color="auto" w:fill="FFFFFF"/>
        <w:spacing w:beforeAutospacing="0" w:before="0" w:afterAutospacing="0" w:after="0"/>
        <w:jc w:val="both"/>
        <w:rPr>
          <w:rFonts w:ascii="Arial" w:hAnsi="Arial" w:cs="Arial"/>
          <w:b w:val="false"/>
          <w:b w:val="false"/>
          <w:sz w:val="24"/>
          <w:szCs w:val="24"/>
        </w:rPr>
      </w:pPr>
      <w:r>
        <w:rPr>
          <w:rFonts w:cs="Arial" w:ascii="Arial" w:hAnsi="Arial"/>
          <w:b w:val="false"/>
          <w:sz w:val="24"/>
          <w:szCs w:val="24"/>
        </w:rPr>
      </w:r>
    </w:p>
    <w:p>
      <w:pPr>
        <w:pStyle w:val="1"/>
        <w:shd w:val="clear" w:color="auto" w:fill="FFFFFF"/>
        <w:spacing w:beforeAutospacing="0" w:before="0" w:afterAutospacing="0" w:after="0"/>
        <w:jc w:val="center"/>
        <w:rPr>
          <w:rFonts w:ascii="Arial" w:hAnsi="Arial" w:cs="Arial"/>
          <w:sz w:val="24"/>
          <w:szCs w:val="24"/>
        </w:rPr>
      </w:pPr>
      <w:r>
        <w:rPr>
          <w:rFonts w:cs="Arial" w:ascii="Arial" w:hAnsi="Arial"/>
          <w:sz w:val="24"/>
          <w:szCs w:val="24"/>
        </w:rPr>
        <w:t xml:space="preserve"> </w:t>
      </w:r>
      <w:r>
        <w:rPr>
          <w:rFonts w:cs="Arial" w:ascii="Arial" w:hAnsi="Arial"/>
          <w:sz w:val="24"/>
          <w:szCs w:val="24"/>
        </w:rPr>
        <w:t>РЕШИЛА:</w:t>
      </w:r>
    </w:p>
    <w:p>
      <w:pPr>
        <w:pStyle w:val="Normal"/>
        <w:shd w:val="clear" w:color="auto" w:fill="FFFFFF"/>
        <w:jc w:val="both"/>
        <w:rPr>
          <w:rFonts w:ascii="Arial" w:hAnsi="Arial" w:cs="Arial"/>
        </w:rPr>
      </w:pPr>
      <w:r>
        <w:rPr>
          <w:rFonts w:cs="Arial" w:ascii="Arial" w:hAnsi="Arial"/>
        </w:rPr>
      </w:r>
    </w:p>
    <w:p>
      <w:pPr>
        <w:pStyle w:val="Normal"/>
        <w:shd w:val="clear" w:color="auto" w:fill="FFFFFF"/>
        <w:ind w:firstLine="708"/>
        <w:jc w:val="both"/>
        <w:rPr>
          <w:rFonts w:ascii="Arial" w:hAnsi="Arial" w:cs="Arial"/>
        </w:rPr>
      </w:pPr>
      <w:r>
        <w:rPr>
          <w:rFonts w:cs="Arial" w:ascii="Arial" w:hAnsi="Arial"/>
        </w:rPr>
        <w:t>1. Утвердить  местные нормативы градостроительного проектирования муниципального образования «Боханский район»  согласно приложению</w:t>
      </w:r>
    </w:p>
    <w:p>
      <w:pPr>
        <w:pStyle w:val="Normal"/>
        <w:shd w:val="clear" w:color="auto" w:fill="FFFFFF"/>
        <w:ind w:firstLine="708"/>
        <w:jc w:val="both"/>
        <w:rPr>
          <w:rFonts w:ascii="Arial" w:hAnsi="Arial" w:cs="Arial"/>
        </w:rPr>
      </w:pPr>
      <w:r>
        <w:rPr>
          <w:rFonts w:cs="Arial" w:ascii="Arial" w:hAnsi="Arial"/>
        </w:rPr>
      </w:r>
    </w:p>
    <w:p>
      <w:pPr>
        <w:pStyle w:val="Normal"/>
        <w:shd w:val="clear" w:color="auto" w:fill="FFFFFF"/>
        <w:ind w:firstLine="708"/>
        <w:jc w:val="both"/>
        <w:rPr>
          <w:rFonts w:ascii="Arial" w:hAnsi="Arial" w:cs="Arial"/>
          <w:spacing w:val="-10"/>
        </w:rPr>
      </w:pPr>
      <w:r>
        <w:rPr>
          <w:rFonts w:cs="Arial" w:ascii="Arial" w:hAnsi="Arial"/>
        </w:rPr>
        <w:t>2. Опубликовать настоящее Решение в газете «Сельская правда» и на официальном сайте администрации МО «Боханский район» в сети интернет.</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Председатель</w:t>
      </w:r>
    </w:p>
    <w:p>
      <w:pPr>
        <w:pStyle w:val="Normal"/>
        <w:jc w:val="both"/>
        <w:rPr>
          <w:rFonts w:ascii="Arial" w:hAnsi="Arial" w:cs="Arial"/>
        </w:rPr>
      </w:pPr>
      <w:r>
        <w:rPr>
          <w:rFonts w:cs="Arial" w:ascii="Arial" w:hAnsi="Arial"/>
        </w:rPr>
        <w:t>Думы МО «Боханский район»</w:t>
        <w:tab/>
        <w:tab/>
        <w:tab/>
        <w:tab/>
        <w:t xml:space="preserve">                       Л.И. Позднякова</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Мэр МО «Боханский район»</w:t>
        <w:tab/>
        <w:tab/>
        <w:tab/>
        <w:tab/>
        <w:tab/>
        <w:tab/>
        <w:t xml:space="preserve">     С.А. Середкин</w:t>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jc w:val="right"/>
        <w:rPr>
          <w:bCs/>
        </w:rPr>
      </w:pPr>
      <w:r>
        <w:rPr>
          <w:bCs/>
        </w:rPr>
        <w:t>УТВЕРЖДЕНО:</w:t>
      </w:r>
    </w:p>
    <w:p>
      <w:pPr>
        <w:pStyle w:val="Normal"/>
        <w:jc w:val="right"/>
        <w:rPr>
          <w:bCs/>
        </w:rPr>
      </w:pPr>
      <w:r>
        <w:rPr>
          <w:bCs/>
        </w:rPr>
        <w:t xml:space="preserve">Решением Думы </w:t>
      </w:r>
    </w:p>
    <w:p>
      <w:pPr>
        <w:pStyle w:val="Normal"/>
        <w:jc w:val="right"/>
        <w:rPr>
          <w:bCs/>
        </w:rPr>
      </w:pPr>
      <w:r>
        <w:rPr>
          <w:bCs/>
        </w:rPr>
        <w:t xml:space="preserve">МО «Боханский район» </w:t>
      </w:r>
    </w:p>
    <w:p>
      <w:pPr>
        <w:pStyle w:val="Normal"/>
        <w:jc w:val="right"/>
        <w:rPr>
          <w:bCs/>
        </w:rPr>
      </w:pPr>
      <w:r>
        <w:rPr>
          <w:bCs/>
        </w:rPr>
        <w:t>от _31.08.2016_ № __95__</w:t>
      </w:r>
    </w:p>
    <w:p>
      <w:pPr>
        <w:pStyle w:val="Normal"/>
        <w:jc w:val="both"/>
        <w:rPr>
          <w:b/>
          <w:b/>
          <w:bCs/>
        </w:rPr>
      </w:pPr>
      <w:r>
        <w:rPr>
          <w:b/>
          <w:bCs/>
        </w:rPr>
      </w:r>
    </w:p>
    <w:p>
      <w:pPr>
        <w:pStyle w:val="Default"/>
        <w:spacing w:lineRule="auto" w:line="276"/>
        <w:jc w:val="both"/>
        <w:rPr>
          <w:b/>
          <w:b/>
          <w:bCs/>
          <w:color w:val="00000A"/>
        </w:rPr>
      </w:pPr>
      <w:r>
        <w:rPr>
          <w:b/>
          <w:bCs/>
          <w:color w:val="00000A"/>
        </w:rPr>
      </w:r>
    </w:p>
    <w:p>
      <w:pPr>
        <w:pStyle w:val="Default"/>
        <w:spacing w:lineRule="auto" w:line="276"/>
        <w:jc w:val="both"/>
        <w:rPr>
          <w:b/>
          <w:b/>
          <w:bCs/>
          <w:color w:val="00000A"/>
        </w:rPr>
      </w:pPr>
      <w:r>
        <w:rPr>
          <w:b/>
          <w:bCs/>
          <w:color w:val="00000A"/>
        </w:rPr>
      </w:r>
    </w:p>
    <w:p>
      <w:pPr>
        <w:pStyle w:val="Default"/>
        <w:spacing w:lineRule="auto" w:line="276"/>
        <w:jc w:val="both"/>
        <w:rPr>
          <w:b/>
          <w:b/>
          <w:bCs/>
          <w:color w:val="00000A"/>
        </w:rPr>
      </w:pPr>
      <w:r>
        <w:rPr>
          <w:b/>
          <w:bCs/>
          <w:color w:val="00000A"/>
        </w:rPr>
      </w:r>
    </w:p>
    <w:p>
      <w:pPr>
        <w:pStyle w:val="Default"/>
        <w:spacing w:lineRule="auto" w:line="276"/>
        <w:jc w:val="both"/>
        <w:rPr>
          <w:b/>
          <w:b/>
          <w:bCs/>
          <w:color w:val="00000A"/>
        </w:rPr>
      </w:pPr>
      <w:r>
        <w:rPr>
          <w:b/>
          <w:bCs/>
          <w:color w:val="00000A"/>
        </w:rPr>
      </w:r>
    </w:p>
    <w:p>
      <w:pPr>
        <w:pStyle w:val="Default"/>
        <w:spacing w:lineRule="auto" w:line="276"/>
        <w:jc w:val="both"/>
        <w:rPr>
          <w:b/>
          <w:b/>
          <w:bCs/>
          <w:color w:val="00000A"/>
        </w:rPr>
      </w:pPr>
      <w:r>
        <w:rPr>
          <w:b/>
          <w:bCs/>
          <w:color w:val="00000A"/>
        </w:rPr>
      </w:r>
    </w:p>
    <w:p>
      <w:pPr>
        <w:pStyle w:val="Default"/>
        <w:spacing w:lineRule="auto" w:line="276"/>
        <w:jc w:val="both"/>
        <w:rPr>
          <w:b/>
          <w:b/>
          <w:bCs/>
          <w:color w:val="00000A"/>
        </w:rPr>
      </w:pPr>
      <w:r>
        <w:rPr>
          <w:b/>
          <w:bCs/>
          <w:color w:val="00000A"/>
        </w:rPr>
      </w:r>
    </w:p>
    <w:p>
      <w:pPr>
        <w:pStyle w:val="Default"/>
        <w:spacing w:lineRule="auto" w:line="276"/>
        <w:jc w:val="both"/>
        <w:rPr>
          <w:b/>
          <w:b/>
          <w:bCs/>
          <w:color w:val="00000A"/>
          <w:sz w:val="32"/>
          <w:szCs w:val="32"/>
        </w:rPr>
      </w:pPr>
      <w:r>
        <w:rPr>
          <w:b/>
          <w:bCs/>
          <w:color w:val="00000A"/>
          <w:sz w:val="32"/>
          <w:szCs w:val="32"/>
        </w:rPr>
      </w:r>
    </w:p>
    <w:p>
      <w:pPr>
        <w:pStyle w:val="Default"/>
        <w:spacing w:lineRule="auto" w:line="276"/>
        <w:jc w:val="center"/>
        <w:rPr>
          <w:color w:val="00000A"/>
          <w:sz w:val="32"/>
          <w:szCs w:val="32"/>
        </w:rPr>
      </w:pPr>
      <w:r>
        <w:rPr>
          <w:b/>
          <w:bCs/>
          <w:color w:val="00000A"/>
          <w:sz w:val="32"/>
          <w:szCs w:val="32"/>
        </w:rPr>
        <w:t>МЕСТНЫЕ НОРМАТИВЫ</w:t>
      </w:r>
    </w:p>
    <w:p>
      <w:pPr>
        <w:pStyle w:val="Default"/>
        <w:spacing w:lineRule="auto" w:line="276"/>
        <w:jc w:val="center"/>
        <w:rPr>
          <w:color w:val="00000A"/>
          <w:sz w:val="32"/>
          <w:szCs w:val="32"/>
        </w:rPr>
      </w:pPr>
      <w:r>
        <w:rPr>
          <w:b/>
          <w:bCs/>
          <w:color w:val="00000A"/>
          <w:sz w:val="32"/>
          <w:szCs w:val="32"/>
        </w:rPr>
        <w:t>ГРАДОСТРОИТЕЛЬНОГО ПРОЕКТИРОВАНИЯ</w:t>
      </w:r>
    </w:p>
    <w:p>
      <w:pPr>
        <w:pStyle w:val="Default"/>
        <w:spacing w:lineRule="auto" w:line="276"/>
        <w:jc w:val="center"/>
        <w:rPr>
          <w:b/>
          <w:b/>
          <w:bCs/>
          <w:color w:val="00000A"/>
          <w:sz w:val="32"/>
          <w:szCs w:val="32"/>
        </w:rPr>
      </w:pPr>
      <w:r>
        <w:rPr>
          <w:b/>
          <w:bCs/>
          <w:color w:val="00000A"/>
          <w:sz w:val="32"/>
          <w:szCs w:val="32"/>
        </w:rPr>
        <w:t xml:space="preserve">Муниципального образования </w:t>
      </w:r>
    </w:p>
    <w:p>
      <w:pPr>
        <w:pStyle w:val="Default"/>
        <w:spacing w:lineRule="auto" w:line="276"/>
        <w:jc w:val="center"/>
        <w:rPr>
          <w:color w:val="00000A"/>
          <w:sz w:val="32"/>
          <w:szCs w:val="32"/>
        </w:rPr>
      </w:pPr>
      <w:r>
        <w:rPr>
          <w:b/>
          <w:bCs/>
          <w:color w:val="00000A"/>
          <w:sz w:val="32"/>
          <w:szCs w:val="32"/>
        </w:rPr>
        <w:t>«Боханский район» Иркутской области</w:t>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color w:val="00000A"/>
          <w:sz w:val="28"/>
          <w:szCs w:val="28"/>
        </w:rPr>
      </w:pPr>
      <w:r>
        <w:rPr>
          <w:b/>
          <w:bCs/>
          <w:color w:val="00000A"/>
          <w:sz w:val="28"/>
          <w:szCs w:val="28"/>
        </w:rPr>
        <w:t>Том II</w:t>
      </w:r>
    </w:p>
    <w:p>
      <w:pPr>
        <w:pStyle w:val="Default"/>
        <w:spacing w:lineRule="auto" w:line="276"/>
        <w:jc w:val="center"/>
        <w:rPr>
          <w:color w:val="00000A"/>
          <w:sz w:val="28"/>
          <w:szCs w:val="28"/>
        </w:rPr>
      </w:pPr>
      <w:r>
        <w:rPr>
          <w:b/>
          <w:bCs/>
          <w:color w:val="00000A"/>
          <w:sz w:val="28"/>
          <w:szCs w:val="28"/>
        </w:rPr>
        <w:t>Материалы по обоснованию</w:t>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rPr>
          <w:bCs/>
          <w:color w:val="00000A"/>
        </w:rPr>
      </w:pPr>
      <w:r>
        <w:rPr>
          <w:bCs/>
          <w:color w:val="00000A"/>
        </w:rPr>
      </w:r>
    </w:p>
    <w:p>
      <w:pPr>
        <w:pStyle w:val="Default"/>
        <w:spacing w:lineRule="auto" w:line="276"/>
        <w:jc w:val="center"/>
        <w:rPr>
          <w:b/>
          <w:b/>
          <w:bCs/>
          <w:color w:val="00000A"/>
        </w:rPr>
      </w:pPr>
      <w:r>
        <w:rPr>
          <w:b/>
          <w:bCs/>
          <w:color w:val="00000A"/>
        </w:rPr>
      </w:r>
    </w:p>
    <w:p>
      <w:pPr>
        <w:pStyle w:val="Default"/>
        <w:spacing w:lineRule="auto" w:line="276"/>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color w:val="00000A"/>
        </w:rPr>
      </w:pPr>
      <w:r>
        <w:rPr>
          <w:b/>
          <w:bCs/>
          <w:color w:val="00000A"/>
        </w:rPr>
        <w:t>БОХАН</w:t>
      </w:r>
    </w:p>
    <w:p>
      <w:pPr>
        <w:pStyle w:val="Normal"/>
        <w:tabs>
          <w:tab w:val="left" w:pos="3544" w:leader="none"/>
        </w:tabs>
        <w:ind w:firstLine="540"/>
        <w:jc w:val="center"/>
        <w:rPr>
          <w:b/>
          <w:b/>
        </w:rPr>
      </w:pPr>
      <w:r>
        <w:rPr>
          <w:b/>
        </w:rPr>
        <w:t>Содержание</w:t>
      </w:r>
    </w:p>
    <w:p>
      <w:pPr>
        <w:pStyle w:val="Normal"/>
        <w:tabs>
          <w:tab w:val="left" w:pos="3544" w:leader="none"/>
          <w:tab w:val="left" w:pos="9498" w:leader="none"/>
        </w:tabs>
        <w:ind w:left="567" w:hanging="567"/>
        <w:rPr/>
      </w:pPr>
      <w:r>
        <w:rPr/>
        <w:t xml:space="preserve">     </w:t>
      </w:r>
      <w:r>
        <w:rPr/>
        <w:t>СОДЕРЖАНИЕ …………………………………….…………………………....................2</w:t>
      </w:r>
    </w:p>
    <w:p>
      <w:pPr>
        <w:pStyle w:val="17"/>
        <w:rPr/>
      </w:pPr>
      <w:r>
        <w:fldChar w:fldCharType="begin"/>
      </w:r>
      <w:r>
        <w:instrText> TOC \z \f \o "1-3" \u \h</w:instrText>
      </w:r>
      <w:r>
        <w:fldChar w:fldCharType="separate"/>
      </w:r>
      <w:hyperlink w:anchor="_Toc411863815">
        <w:r>
          <w:rPr>
            <w:webHidden/>
            <w:rStyle w:val="Style23"/>
          </w:rPr>
          <w:t>ВВЕДЕНИЕ…………………………………………………...</w:t>
        </w:r>
        <w:r>
          <w:rPr>
            <w:webHidden/>
          </w:rPr>
          <w:fldChar w:fldCharType="begin"/>
        </w:r>
        <w:r>
          <w:rPr>
            <w:webHidden/>
          </w:rPr>
          <w:instrText>PAGEREF _Toc411863815 \h</w:instrText>
        </w:r>
        <w:r>
          <w:rPr>
            <w:webHidden/>
          </w:rPr>
          <w:fldChar w:fldCharType="separate"/>
        </w:r>
        <w:r>
          <w:rPr>
            <w:rStyle w:val="Style23"/>
            <w:vanish w:val="false"/>
          </w:rPr>
          <w:t>............................................3</w:t>
        </w:r>
        <w:r>
          <w:rPr>
            <w:webHidden/>
          </w:rPr>
          <w:fldChar w:fldCharType="end"/>
        </w:r>
      </w:hyperlink>
    </w:p>
    <w:p>
      <w:pPr>
        <w:pStyle w:val="17"/>
        <w:rPr/>
      </w:pPr>
      <w:r>
        <w:rPr/>
        <w:t>1.</w:t>
      </w:r>
      <w:hyperlink w:anchor="_Toc411863816">
        <w:r>
          <w:rPr>
            <w:webHidden/>
            <w:rStyle w:val="Style23"/>
          </w:rPr>
          <w:t>Общая часть…………………………….………………………………….……………....</w:t>
        </w:r>
        <w:r>
          <w:rPr>
            <w:webHidden/>
          </w:rPr>
          <w:fldChar w:fldCharType="begin"/>
        </w:r>
        <w:r>
          <w:rPr>
            <w:webHidden/>
          </w:rPr>
          <w:instrText>PAGEREF _Toc411863816 \h</w:instrText>
        </w:r>
        <w:r>
          <w:rPr>
            <w:webHidden/>
          </w:rPr>
          <w:fldChar w:fldCharType="separate"/>
        </w:r>
        <w:r>
          <w:rPr>
            <w:rStyle w:val="Style23"/>
            <w:vanish w:val="false"/>
          </w:rPr>
          <w:t>4</w:t>
        </w:r>
        <w:r>
          <w:rPr>
            <w:webHidden/>
          </w:rPr>
          <w:fldChar w:fldCharType="end"/>
        </w:r>
      </w:hyperlink>
    </w:p>
    <w:p>
      <w:pPr>
        <w:pStyle w:val="17"/>
        <w:rPr/>
      </w:pPr>
      <w:r>
        <w:rPr/>
        <w:t xml:space="preserve">1.1.Географическое положение. </w:t>
      </w:r>
      <w:hyperlink w:anchor="_Toc411863817">
        <w:r>
          <w:rPr>
            <w:webHidden/>
            <w:rStyle w:val="Style23"/>
          </w:rPr>
          <w:t>Природно-климатические  условия........................... .</w:t>
        </w:r>
        <w:r>
          <w:rPr>
            <w:webHidden/>
          </w:rPr>
          <w:fldChar w:fldCharType="begin"/>
        </w:r>
        <w:r>
          <w:rPr>
            <w:webHidden/>
          </w:rPr>
          <w:instrText>PAGEREF _Toc411863817 \h</w:instrText>
        </w:r>
        <w:r>
          <w:rPr>
            <w:webHidden/>
          </w:rPr>
          <w:fldChar w:fldCharType="separate"/>
        </w:r>
        <w:r>
          <w:rPr>
            <w:rStyle w:val="Style23"/>
            <w:vanish w:val="false"/>
          </w:rPr>
          <w:t>4</w:t>
        </w:r>
        <w:r>
          <w:rPr>
            <w:webHidden/>
          </w:rPr>
          <w:fldChar w:fldCharType="end"/>
        </w:r>
      </w:hyperlink>
    </w:p>
    <w:p>
      <w:pPr>
        <w:pStyle w:val="17"/>
        <w:rPr/>
      </w:pPr>
      <w:r>
        <w:rPr/>
        <w:t>1.2.</w:t>
      </w:r>
      <w:hyperlink w:anchor="_Toc411863818">
        <w:r>
          <w:rPr>
            <w:webHidden/>
            <w:rStyle w:val="Style23"/>
          </w:rPr>
          <w:t>Административно-территориальное устройство …………………………………….</w:t>
        </w:r>
        <w:r>
          <w:rPr>
            <w:webHidden/>
          </w:rPr>
          <w:fldChar w:fldCharType="begin"/>
        </w:r>
        <w:r>
          <w:rPr>
            <w:webHidden/>
          </w:rPr>
          <w:instrText>PAGEREF _Toc411863818 \h</w:instrText>
        </w:r>
        <w:r>
          <w:rPr>
            <w:webHidden/>
          </w:rPr>
          <w:fldChar w:fldCharType="separate"/>
        </w:r>
        <w:r>
          <w:rPr>
            <w:rStyle w:val="Style23"/>
            <w:vanish w:val="false"/>
          </w:rPr>
          <w:t>5</w:t>
        </w:r>
        <w:r>
          <w:rPr>
            <w:webHidden/>
          </w:rPr>
          <w:fldChar w:fldCharType="end"/>
        </w:r>
      </w:hyperlink>
    </w:p>
    <w:p>
      <w:pPr>
        <w:pStyle w:val="17"/>
        <w:rPr/>
      </w:pPr>
      <w:r>
        <w:rPr/>
        <w:t>1.3.</w:t>
      </w:r>
      <w:hyperlink w:anchor="_Toc411863819">
        <w:r>
          <w:rPr>
            <w:webHidden/>
            <w:rStyle w:val="Style23"/>
          </w:rPr>
          <w:t>Социально-демографический состав и плотность населения..………………………</w:t>
        </w:r>
      </w:hyperlink>
      <w:r>
        <w:rPr/>
        <w:t>8</w:t>
      </w:r>
    </w:p>
    <w:p>
      <w:pPr>
        <w:pStyle w:val="17"/>
        <w:rPr/>
      </w:pPr>
      <w:hyperlink w:anchor="_Toc411863820">
        <w:r>
          <w:rPr>
            <w:webHidden/>
            <w:rStyle w:val="Style23"/>
          </w:rPr>
          <w:t>1.3.1 Дифференциация    поселений  муниципального образования «Боханский район»  по демографическому  и иным признакам.……………………………………………………</w:t>
        </w:r>
      </w:hyperlink>
      <w:r>
        <w:rPr/>
        <w:t>9</w:t>
      </w:r>
    </w:p>
    <w:p>
      <w:pPr>
        <w:pStyle w:val="17"/>
        <w:rPr/>
      </w:pPr>
      <w:r>
        <w:rPr/>
        <w:t xml:space="preserve">1.4  </w:t>
      </w:r>
      <w:hyperlink w:anchor="_Toc411863821">
        <w:r>
          <w:rPr>
            <w:webHidden/>
            <w:rStyle w:val="Style23"/>
          </w:rPr>
          <w:t>Экономическая база  муниципального образования «Боханский район»…………</w:t>
        </w:r>
      </w:hyperlink>
      <w:r>
        <w:rPr/>
        <w:t>10</w:t>
      </w:r>
    </w:p>
    <w:p>
      <w:pPr>
        <w:pStyle w:val="17"/>
        <w:rPr/>
      </w:pPr>
      <w:r>
        <w:rPr/>
        <w:t xml:space="preserve">2.  </w:t>
      </w:r>
      <w:hyperlink w:anchor="_Toc411863823">
        <w:r>
          <w:rPr>
            <w:webHidden/>
            <w:rStyle w:val="Style23"/>
            <w:bCs/>
          </w:rPr>
          <w:t>Материалы по обоснованию расчетных показателей, содержащихся в основной части нормативов градостроительного поектирования……………………………………</w:t>
        </w:r>
      </w:hyperlink>
      <w:r>
        <w:rPr/>
        <w:t>...16</w:t>
      </w:r>
    </w:p>
    <w:p>
      <w:pPr>
        <w:pStyle w:val="17"/>
        <w:rPr/>
      </w:pPr>
      <w:r>
        <w:rPr/>
        <w:t xml:space="preserve">2.1  </w:t>
      </w:r>
      <w:hyperlink w:anchor="_Toc411863824">
        <w:r>
          <w:rPr>
            <w:webHidden/>
            <w:rStyle w:val="Style23"/>
            <w:bCs/>
          </w:rPr>
          <w:t>Обоснование  видов  объектов  местного  значения муниципального района, для которых определяются расчетные показатели……………...………………………………..</w:t>
        </w:r>
        <w:r>
          <w:rPr>
            <w:rStyle w:val="Style23"/>
            <w:vanish w:val="false"/>
          </w:rPr>
          <w:t>1</w:t>
        </w:r>
      </w:hyperlink>
      <w:r>
        <w:rPr/>
        <w:t>6</w:t>
      </w:r>
    </w:p>
    <w:p>
      <w:pPr>
        <w:pStyle w:val="17"/>
        <w:rPr/>
      </w:pPr>
      <w:hyperlink w:anchor="_Toc411863825">
        <w:r>
          <w:rPr>
            <w:webHidden/>
            <w:rStyle w:val="Style23"/>
          </w:rPr>
          <w:t>2.2  Учет социально-демографического состава и плотности населения………………..17</w:t>
        </w:r>
        <w:r>
          <w:rPr>
            <w:rStyle w:val="Style23"/>
            <w:vanish w:val="false"/>
          </w:rPr>
          <w:tab/>
        </w:r>
        <w:r>
          <w:rPr>
            <w:webHidden/>
          </w:rPr>
          <w:fldChar w:fldCharType="begin"/>
        </w:r>
        <w:r>
          <w:rPr>
            <w:webHidden/>
          </w:rPr>
          <w:instrText>PAGEREF _Toc411863825 \h</w:instrText>
        </w:r>
        <w:r>
          <w:rPr>
            <w:webHidden/>
          </w:rPr>
          <w:fldChar w:fldCharType="separate"/>
        </w:r>
        <w:r>
          <w:rPr>
            <w:rStyle w:val="Style23"/>
            <w:b/>
            <w:bCs/>
            <w:vanish w:val="false"/>
          </w:rPr>
          <w:t>Ошибка! Закладка не определена.</w:t>
        </w:r>
        <w:r>
          <w:rPr>
            <w:webHidden/>
          </w:rPr>
          <w:fldChar w:fldCharType="end"/>
        </w:r>
      </w:hyperlink>
    </w:p>
    <w:p>
      <w:pPr>
        <w:pStyle w:val="17"/>
        <w:rPr/>
      </w:pPr>
      <w:r>
        <w:rPr/>
        <w:t xml:space="preserve">2.3. </w:t>
      </w:r>
      <w:hyperlink w:anchor="_Toc411863826">
        <w:r>
          <w:rPr>
            <w:webHidden/>
            <w:rStyle w:val="Style23"/>
          </w:rPr>
          <w:t>Сведения  о  планах  и  программах  комплексного  социально-экономического развития муниципального образования…………………………………………...</w:t>
        </w:r>
      </w:hyperlink>
      <w:r>
        <w:rPr/>
        <w:t>................17</w:t>
      </w:r>
    </w:p>
    <w:p>
      <w:pPr>
        <w:pStyle w:val="17"/>
        <w:rPr/>
      </w:pPr>
      <w:hyperlink w:anchor="_Toc411863827">
        <w:r>
          <w:rPr>
            <w:webHidden/>
            <w:rStyle w:val="Style23"/>
          </w:rPr>
          <w:t>2.4  Предложения органов  местного  самоуправления  и заинтересованных лиц…</w:t>
        </w:r>
      </w:hyperlink>
      <w:r>
        <w:rPr/>
        <w:t>….18</w:t>
      </w:r>
    </w:p>
    <w:p>
      <w:pPr>
        <w:pStyle w:val="17"/>
        <w:rPr/>
      </w:pPr>
      <w:hyperlink w:anchor="_Toc411863828">
        <w:r>
          <w:rPr>
            <w:webHidden/>
            <w:rStyle w:val="Style23"/>
          </w:rPr>
          <w:t xml:space="preserve">2.5 Расчет показателей </w:t>
        </w:r>
        <w:r>
          <w:rPr>
            <w:rStyle w:val="Style23"/>
            <w:bCs/>
          </w:rPr>
          <w:t>содержащихся в основной части нормативов градостроительного проектирования       ……………………………………………………</w:t>
        </w:r>
      </w:hyperlink>
      <w:r>
        <w:rPr/>
        <w:t>.19</w:t>
      </w:r>
    </w:p>
    <w:p>
      <w:pPr>
        <w:pStyle w:val="17"/>
        <w:rPr/>
      </w:pPr>
      <w:hyperlink w:anchor="_Toc411863837">
        <w:r>
          <w:rPr>
            <w:webHidden/>
            <w:rStyle w:val="Style23"/>
          </w:rPr>
          <w:t>2.5.1  Объекты здравоохранения……………....…………………………………………..</w:t>
        </w:r>
      </w:hyperlink>
      <w:r>
        <w:rPr/>
        <w:t>.20</w:t>
      </w:r>
    </w:p>
    <w:p>
      <w:pPr>
        <w:pStyle w:val="17"/>
        <w:rPr/>
      </w:pPr>
      <w:hyperlink w:anchor="_Toc411863838">
        <w:r>
          <w:rPr>
            <w:webHidden/>
            <w:rStyle w:val="Style23"/>
          </w:rPr>
          <w:t>2.5.2  Объекты физической культуры и спорта………………..………………………….</w:t>
        </w:r>
      </w:hyperlink>
      <w:r>
        <w:rPr/>
        <w:t>.23</w:t>
      </w:r>
    </w:p>
    <w:p>
      <w:pPr>
        <w:pStyle w:val="17"/>
        <w:rPr/>
      </w:pPr>
      <w:hyperlink w:anchor="_Toc411863839">
        <w:r>
          <w:rPr>
            <w:webHidden/>
            <w:rStyle w:val="Style23"/>
          </w:rPr>
          <w:t>2.5.3  Объекты культуры и искусства…………….………………………………………..</w:t>
        </w:r>
      </w:hyperlink>
      <w:r>
        <w:rPr/>
        <w:t>26</w:t>
      </w:r>
    </w:p>
    <w:p>
      <w:pPr>
        <w:pStyle w:val="17"/>
        <w:rPr/>
      </w:pPr>
      <w:hyperlink w:anchor="_Toc411863840">
        <w:r>
          <w:rPr>
            <w:webHidden/>
            <w:rStyle w:val="Style23"/>
          </w:rPr>
          <w:t>2.5.4  Объекты образования....………………………………………………...</w:t>
        </w:r>
      </w:hyperlink>
      <w:r>
        <w:rPr/>
        <w:t>...................28</w:t>
      </w:r>
    </w:p>
    <w:p>
      <w:pPr>
        <w:pStyle w:val="17"/>
        <w:rPr/>
      </w:pPr>
      <w:hyperlink w:anchor="_Toc411863841">
        <w:r>
          <w:rPr>
            <w:webHidden/>
            <w:rStyle w:val="Style23"/>
          </w:rPr>
          <w:t>2.5.5  Объекты автомобильного транспорта……………………………………………...</w:t>
        </w:r>
      </w:hyperlink>
      <w:r>
        <w:rPr/>
        <w:t>.32</w:t>
      </w:r>
    </w:p>
    <w:p>
      <w:pPr>
        <w:pStyle w:val="Normal"/>
        <w:rPr/>
      </w:pPr>
      <w:r>
        <w:rPr/>
        <w:t xml:space="preserve">     </w:t>
      </w:r>
      <w:r>
        <w:rPr/>
        <w:t>2.5.6.  Объекты воздушного транспорта…………………………………………………...32</w:t>
      </w:r>
    </w:p>
    <w:p>
      <w:pPr>
        <w:pStyle w:val="17"/>
        <w:rPr/>
      </w:pPr>
      <w:hyperlink w:anchor="_Toc411863843">
        <w:r>
          <w:rPr>
            <w:webHidden/>
            <w:rStyle w:val="Style23"/>
          </w:rPr>
          <w:t xml:space="preserve">2.5.7.  Объекты водного транспорта……………………………………………… …….    </w:t>
        </w:r>
      </w:hyperlink>
      <w:r>
        <w:rPr/>
        <w:t>33</w:t>
      </w:r>
    </w:p>
    <w:p>
      <w:pPr>
        <w:pStyle w:val="17"/>
        <w:rPr/>
      </w:pPr>
      <w:hyperlink w:anchor="_Toc411863844">
        <w:r>
          <w:rPr>
            <w:webHidden/>
            <w:rStyle w:val="Style23"/>
          </w:rPr>
          <w:t>2.5.8 Объекты гражданской обороны, необходимые для предупреждения чрезвычайных ситуаций межмуниципального и регионального характера, стихийных бедствий, эпидемий и ликвидации их последствий………………………………………………………………</w:t>
        </w:r>
      </w:hyperlink>
      <w:r>
        <w:rPr/>
        <w:t>…34</w:t>
      </w:r>
    </w:p>
    <w:p>
      <w:pPr>
        <w:pStyle w:val="17"/>
        <w:rPr/>
      </w:pPr>
      <w:hyperlink w:anchor="_Toc411863845">
        <w:r>
          <w:rPr>
            <w:webHidden/>
            <w:rStyle w:val="Style23"/>
          </w:rPr>
          <w:t>2.5.9  Объекты электроснабжения…………………………………………………………</w:t>
        </w:r>
        <w:r>
          <w:rPr>
            <w:rStyle w:val="Style23"/>
            <w:vanish w:val="false"/>
          </w:rPr>
          <w:t>3</w:t>
        </w:r>
      </w:hyperlink>
      <w:r>
        <w:rPr/>
        <w:t>6</w:t>
      </w:r>
    </w:p>
    <w:p>
      <w:pPr>
        <w:pStyle w:val="17"/>
        <w:rPr/>
      </w:pPr>
      <w:hyperlink w:anchor="_Toc411863846">
        <w:r>
          <w:rPr>
            <w:webHidden/>
            <w:rStyle w:val="Style23"/>
          </w:rPr>
          <w:t>2.5.10  Объекты газоснабжения……………………………………………………………</w:t>
        </w:r>
        <w:r>
          <w:rPr>
            <w:rStyle w:val="Style23"/>
            <w:vanish w:val="false"/>
          </w:rPr>
          <w:t>3</w:t>
        </w:r>
      </w:hyperlink>
      <w:r>
        <w:rPr/>
        <w:t>9</w:t>
      </w:r>
    </w:p>
    <w:p>
      <w:pPr>
        <w:pStyle w:val="17"/>
        <w:rPr/>
      </w:pPr>
      <w:hyperlink w:anchor="_Toc411863847">
        <w:r>
          <w:rPr>
            <w:webHidden/>
            <w:rStyle w:val="Style23"/>
          </w:rPr>
          <w:t>2.5.11. Объекты  культурного  наследия  местного (муниципального) значения.………………………………………………………………………………………..</w:t>
        </w:r>
      </w:hyperlink>
      <w:r>
        <w:rPr/>
        <w:t>.39</w:t>
      </w:r>
    </w:p>
    <w:p>
      <w:pPr>
        <w:pStyle w:val="17"/>
        <w:rPr/>
      </w:pPr>
      <w:hyperlink w:anchor="_Toc411863848">
        <w:r>
          <w:rPr>
            <w:webHidden/>
            <w:rStyle w:val="Style23"/>
          </w:rPr>
          <w:t>2.5.12. Объекты, предназначенные для утилизации и переработки бытовых и промышленных отходов..……………………………………………………………………..</w:t>
        </w:r>
      </w:hyperlink>
      <w:r>
        <w:rPr/>
        <w:t>.43</w:t>
      </w:r>
    </w:p>
    <w:p>
      <w:pPr>
        <w:pStyle w:val="17"/>
        <w:rPr/>
      </w:pPr>
      <w:hyperlink w:anchor="_Toc411863849">
        <w:r>
          <w:rPr>
            <w:webHidden/>
            <w:rStyle w:val="Style23"/>
          </w:rPr>
          <w:t>2.5.13.Зоны размещения скотомогильников………………………………………………</w:t>
        </w:r>
        <w:r>
          <w:rPr>
            <w:rStyle w:val="Style23"/>
            <w:vanish w:val="false"/>
          </w:rPr>
          <w:t>4</w:t>
        </w:r>
      </w:hyperlink>
      <w:r>
        <w:rPr/>
        <w:t>6</w:t>
      </w:r>
    </w:p>
    <w:p>
      <w:pPr>
        <w:pStyle w:val="17"/>
        <w:rPr/>
      </w:pPr>
      <w:hyperlink w:anchor="_Toc411863850">
        <w:r>
          <w:rPr>
            <w:webHidden/>
            <w:rStyle w:val="Style23"/>
          </w:rPr>
          <w:t>2.5.14 Обеспечение доступности объектов социальной инфраструктуры для инвалидов и маломобильных групп населения…………………………………………………………</w:t>
        </w:r>
      </w:hyperlink>
      <w:r>
        <w:rPr/>
        <w:t>...47</w:t>
      </w:r>
    </w:p>
    <w:p>
      <w:pPr>
        <w:pStyle w:val="17"/>
        <w:rPr/>
      </w:pPr>
      <w:hyperlink w:anchor="_Toc411863851">
        <w:r>
          <w:rPr>
            <w:webHidden/>
            <w:rStyle w:val="Style23"/>
          </w:rPr>
          <w:t>Приложение 1(термины и определения, нормативно-правовая база)………….</w:t>
        </w:r>
        <w:r>
          <w:rPr>
            <w:rStyle w:val="Style23"/>
            <w:b/>
          </w:rPr>
          <w:t xml:space="preserve"> </w:t>
        </w:r>
        <w:r>
          <w:rPr>
            <w:rStyle w:val="Style23"/>
          </w:rPr>
          <w:t>………</w:t>
        </w:r>
        <w:r>
          <w:rPr>
            <w:rStyle w:val="Style23"/>
            <w:vanish w:val="false"/>
          </w:rPr>
          <w:t>4</w:t>
        </w:r>
      </w:hyperlink>
      <w:r>
        <w:rPr/>
        <w:t>8</w:t>
      </w:r>
    </w:p>
    <w:p>
      <w:pPr>
        <w:pStyle w:val="17"/>
        <w:rPr/>
      </w:pPr>
      <w:hyperlink w:anchor="_Toc411863851">
        <w:r>
          <w:rPr>
            <w:webHidden/>
            <w:rStyle w:val="Style23"/>
          </w:rPr>
          <w:t>Приложение 2(объекты  культурного  наследия  местного (муниципального) значения)................................................................................................................................</w:t>
        </w:r>
        <w:r>
          <w:rPr>
            <w:rStyle w:val="Style23"/>
            <w:vanish w:val="false"/>
          </w:rPr>
          <w:t>5</w:t>
        </w:r>
      </w:hyperlink>
      <w:r>
        <w:rPr/>
        <w:t>3</w:t>
      </w:r>
    </w:p>
    <w:p>
      <w:pPr>
        <w:pStyle w:val="17"/>
        <w:rPr/>
      </w:pPr>
      <w:hyperlink w:anchor="_Toc411863851">
        <w:r>
          <w:rPr>
            <w:webHidden/>
            <w:rStyle w:val="Style23"/>
          </w:rPr>
          <w:t>Приложение 3……………………………………………………………….......................</w:t>
        </w:r>
      </w:hyperlink>
      <w:r>
        <w:rPr/>
        <w:t xml:space="preserve">  57</w:t>
      </w:r>
    </w:p>
    <w:p>
      <w:pPr>
        <w:pStyle w:val="17"/>
        <w:rPr/>
      </w:pPr>
      <w:r>
        <w:rPr/>
        <w:t xml:space="preserve"> </w:t>
      </w:r>
      <w:r>
        <w:fldChar w:fldCharType="end"/>
      </w:r>
    </w:p>
    <w:p>
      <w:pPr>
        <w:pStyle w:val="Normal"/>
        <w:tabs>
          <w:tab w:val="left" w:pos="3544" w:leader="none"/>
        </w:tabs>
        <w:ind w:firstLine="540"/>
        <w:jc w:val="both"/>
        <w:rPr/>
      </w:pPr>
      <w:r>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t>Введение</w:t>
      </w:r>
    </w:p>
    <w:p>
      <w:pPr>
        <w:pStyle w:val="Normal"/>
        <w:tabs>
          <w:tab w:val="left" w:pos="3544" w:leader="none"/>
        </w:tabs>
        <w:ind w:firstLine="540"/>
        <w:jc w:val="center"/>
        <w:rPr>
          <w:b/>
          <w:b/>
        </w:rPr>
      </w:pPr>
      <w:r>
        <w:rPr>
          <w:b/>
        </w:rPr>
      </w:r>
    </w:p>
    <w:p>
      <w:pPr>
        <w:pStyle w:val="Normal"/>
        <w:widowControl w:val="false"/>
        <w:tabs>
          <w:tab w:val="left" w:pos="3544" w:leader="none"/>
          <w:tab w:val="left" w:pos="8027" w:leader="none"/>
        </w:tabs>
        <w:spacing w:before="270" w:after="0"/>
        <w:ind w:firstLine="709"/>
        <w:contextualSpacing/>
        <w:jc w:val="both"/>
        <w:rPr/>
      </w:pPr>
      <w:r>
        <w:rPr/>
        <w:t>Местные нормативы  градостроительного  проектирования  муниципального образования «Боханский район» Иркутской области (далее - Боханский район) разработаны на основании действующего законодательства о градостроительной деятельности Российской Федерации, Иркутской области, Боханского района.</w:t>
      </w:r>
    </w:p>
    <w:p>
      <w:pPr>
        <w:pStyle w:val="Normal"/>
        <w:widowControl w:val="false"/>
        <w:tabs>
          <w:tab w:val="left" w:pos="3544" w:leader="none"/>
          <w:tab w:val="left" w:pos="8027" w:leader="none"/>
        </w:tabs>
        <w:spacing w:before="270" w:after="0"/>
        <w:ind w:firstLine="709"/>
        <w:contextualSpacing/>
        <w:jc w:val="both"/>
        <w:rPr/>
      </w:pPr>
      <w:r>
        <w:rPr>
          <w:rFonts w:eastAsia="Lucida Sans Unicode"/>
          <w:lang w:eastAsia="zh-CN" w:bidi="hi-IN"/>
        </w:rPr>
        <w:t>Местные</w:t>
      </w:r>
      <w:r>
        <w:rPr>
          <w:lang w:eastAsia="zh-CN" w:bidi="hi-IN"/>
        </w:rPr>
        <w:t xml:space="preserve"> </w:t>
      </w:r>
      <w:r>
        <w:rPr>
          <w:rFonts w:eastAsia="Lucida Sans Unicode"/>
          <w:lang w:eastAsia="zh-CN" w:bidi="hi-IN"/>
        </w:rPr>
        <w:t>нормативы</w:t>
      </w:r>
      <w:r>
        <w:rPr>
          <w:lang w:eastAsia="zh-CN" w:bidi="hi-IN"/>
        </w:rPr>
        <w:t xml:space="preserve"> </w:t>
      </w:r>
      <w:r>
        <w:rPr>
          <w:rFonts w:eastAsia="Lucida Sans Unicode"/>
          <w:lang w:eastAsia="zh-CN" w:bidi="hi-IN"/>
        </w:rPr>
        <w:t>разрабатываются</w:t>
      </w:r>
      <w:r>
        <w:rPr>
          <w:lang w:eastAsia="zh-CN" w:bidi="hi-IN"/>
        </w:rPr>
        <w:t xml:space="preserve"> </w:t>
      </w:r>
      <w:r>
        <w:rPr>
          <w:rFonts w:eastAsia="Lucida Sans Unicode"/>
          <w:lang w:eastAsia="zh-CN" w:bidi="hi-IN"/>
        </w:rPr>
        <w:t>с</w:t>
      </w:r>
      <w:r>
        <w:rPr>
          <w:lang w:eastAsia="zh-CN" w:bidi="hi-IN"/>
        </w:rPr>
        <w:t xml:space="preserve"> </w:t>
      </w:r>
      <w:r>
        <w:rPr>
          <w:rFonts w:eastAsia="Lucida Sans Unicode"/>
          <w:lang w:eastAsia="zh-CN" w:bidi="hi-IN"/>
        </w:rPr>
        <w:t>учетом</w:t>
      </w:r>
      <w:r>
        <w:rPr>
          <w:lang w:eastAsia="zh-CN" w:bidi="hi-IN"/>
        </w:rPr>
        <w:t xml:space="preserve"> </w:t>
      </w:r>
      <w:r>
        <w:rPr>
          <w:rFonts w:eastAsia="Lucida Sans Unicode"/>
          <w:lang w:eastAsia="zh-CN" w:bidi="hi-IN"/>
        </w:rPr>
        <w:t>территориальных,</w:t>
      </w:r>
      <w:r>
        <w:rPr>
          <w:lang w:eastAsia="zh-CN" w:bidi="hi-IN"/>
        </w:rPr>
        <w:t xml:space="preserve"> </w:t>
      </w:r>
      <w:r>
        <w:rPr>
          <w:rFonts w:eastAsia="Lucida Sans Unicode"/>
          <w:lang w:eastAsia="zh-CN" w:bidi="hi-IN"/>
        </w:rPr>
        <w:t>природно-климатических,</w:t>
      </w:r>
      <w:r>
        <w:rPr>
          <w:lang w:eastAsia="zh-CN" w:bidi="hi-IN"/>
        </w:rPr>
        <w:t xml:space="preserve"> </w:t>
      </w:r>
      <w:r>
        <w:rPr>
          <w:rFonts w:eastAsia="Lucida Sans Unicode"/>
          <w:lang w:eastAsia="zh-CN" w:bidi="hi-IN"/>
        </w:rPr>
        <w:t>геологических,</w:t>
      </w:r>
      <w:r>
        <w:rPr>
          <w:lang w:eastAsia="zh-CN" w:bidi="hi-IN"/>
        </w:rPr>
        <w:t xml:space="preserve"> </w:t>
      </w:r>
      <w:r>
        <w:rPr>
          <w:rFonts w:eastAsia="Lucida Sans Unicode"/>
          <w:lang w:eastAsia="zh-CN" w:bidi="hi-IN"/>
        </w:rPr>
        <w:t>социально-экономических, историко-культурных</w:t>
      </w:r>
      <w:r>
        <w:rPr>
          <w:lang w:eastAsia="zh-CN" w:bidi="hi-IN"/>
        </w:rPr>
        <w:t xml:space="preserve"> </w:t>
      </w:r>
      <w:r>
        <w:rPr>
          <w:rFonts w:eastAsia="Lucida Sans Unicode"/>
          <w:lang w:eastAsia="zh-CN" w:bidi="hi-IN"/>
        </w:rPr>
        <w:t>и</w:t>
      </w:r>
      <w:r>
        <w:rPr>
          <w:lang w:eastAsia="zh-CN" w:bidi="hi-IN"/>
        </w:rPr>
        <w:t xml:space="preserve"> </w:t>
      </w:r>
      <w:r>
        <w:rPr>
          <w:rFonts w:eastAsia="Lucida Sans Unicode"/>
          <w:lang w:eastAsia="zh-CN" w:bidi="hi-IN"/>
        </w:rPr>
        <w:t>иных</w:t>
      </w:r>
      <w:r>
        <w:rPr>
          <w:lang w:eastAsia="zh-CN" w:bidi="hi-IN"/>
        </w:rPr>
        <w:t xml:space="preserve"> </w:t>
      </w:r>
      <w:r>
        <w:rPr>
          <w:rFonts w:eastAsia="Lucida Sans Unicode"/>
          <w:lang w:eastAsia="zh-CN" w:bidi="hi-IN"/>
        </w:rPr>
        <w:t>особенностей</w:t>
      </w:r>
      <w:r>
        <w:rPr>
          <w:lang w:eastAsia="zh-CN" w:bidi="hi-IN"/>
        </w:rPr>
        <w:t xml:space="preserve"> </w:t>
      </w:r>
      <w:r>
        <w:rPr>
          <w:rFonts w:eastAsia="Lucida Sans Unicode"/>
          <w:lang w:eastAsia="zh-CN" w:bidi="hi-IN"/>
        </w:rPr>
        <w:t xml:space="preserve">муниципальных образований Боханского </w:t>
      </w:r>
      <w:r>
        <w:rPr>
          <w:lang w:eastAsia="zh-CN" w:bidi="hi-IN"/>
        </w:rPr>
        <w:t xml:space="preserve"> </w:t>
      </w:r>
      <w:r>
        <w:rPr>
          <w:rFonts w:eastAsia="Lucida Sans Unicode"/>
          <w:lang w:eastAsia="zh-CN" w:bidi="hi-IN"/>
        </w:rPr>
        <w:t>района</w:t>
      </w:r>
      <w:r>
        <w:rPr>
          <w:lang w:eastAsia="zh-CN" w:bidi="hi-IN"/>
        </w:rPr>
        <w:t xml:space="preserve"> </w:t>
      </w:r>
      <w:r>
        <w:rPr>
          <w:rFonts w:eastAsia="Lucida Sans Unicode"/>
          <w:lang w:eastAsia="zh-CN" w:bidi="hi-IN"/>
        </w:rPr>
        <w:t>для</w:t>
      </w:r>
      <w:r>
        <w:rPr>
          <w:lang w:eastAsia="zh-CN" w:bidi="hi-IN"/>
        </w:rPr>
        <w:t xml:space="preserve"> </w:t>
      </w:r>
      <w:r>
        <w:rPr>
          <w:rFonts w:eastAsia="Lucida Sans Unicode"/>
          <w:lang w:eastAsia="zh-CN" w:bidi="hi-IN"/>
        </w:rPr>
        <w:t>сохранения</w:t>
      </w:r>
      <w:r>
        <w:rPr>
          <w:lang w:eastAsia="zh-CN" w:bidi="hi-IN"/>
        </w:rPr>
        <w:t xml:space="preserve"> </w:t>
      </w:r>
      <w:r>
        <w:rPr>
          <w:rFonts w:eastAsia="Lucida Sans Unicode"/>
          <w:lang w:eastAsia="zh-CN" w:bidi="hi-IN"/>
        </w:rPr>
        <w:t>достигнутого</w:t>
      </w:r>
      <w:r>
        <w:rPr>
          <w:lang w:eastAsia="zh-CN" w:bidi="hi-IN"/>
        </w:rPr>
        <w:t xml:space="preserve"> </w:t>
      </w:r>
      <w:r>
        <w:rPr>
          <w:rFonts w:eastAsia="Lucida Sans Unicode"/>
          <w:lang w:eastAsia="zh-CN" w:bidi="hi-IN"/>
        </w:rPr>
        <w:t>и</w:t>
      </w:r>
      <w:r>
        <w:rPr>
          <w:lang w:eastAsia="zh-CN" w:bidi="hi-IN"/>
        </w:rPr>
        <w:t xml:space="preserve"> </w:t>
      </w:r>
      <w:r>
        <w:rPr>
          <w:rFonts w:eastAsia="Lucida Sans Unicode"/>
          <w:lang w:eastAsia="zh-CN" w:bidi="hi-IN"/>
        </w:rPr>
        <w:t>дальнейшего</w:t>
      </w:r>
      <w:r>
        <w:rPr>
          <w:lang w:eastAsia="zh-CN" w:bidi="hi-IN"/>
        </w:rPr>
        <w:t xml:space="preserve"> </w:t>
      </w:r>
      <w:r>
        <w:rPr>
          <w:rFonts w:eastAsia="Lucida Sans Unicode"/>
          <w:lang w:eastAsia="zh-CN" w:bidi="hi-IN"/>
        </w:rPr>
        <w:t>повышения</w:t>
      </w:r>
      <w:r>
        <w:rPr>
          <w:lang w:eastAsia="zh-CN" w:bidi="hi-IN"/>
        </w:rPr>
        <w:t xml:space="preserve"> </w:t>
      </w:r>
      <w:r>
        <w:rPr>
          <w:rFonts w:eastAsia="Lucida Sans Unicode"/>
          <w:lang w:eastAsia="zh-CN" w:bidi="hi-IN"/>
        </w:rPr>
        <w:t>уровня</w:t>
      </w:r>
      <w:r>
        <w:rPr>
          <w:lang w:eastAsia="zh-CN" w:bidi="hi-IN"/>
        </w:rPr>
        <w:t xml:space="preserve"> </w:t>
      </w:r>
      <w:r>
        <w:rPr>
          <w:rFonts w:eastAsia="Lucida Sans Unicode"/>
          <w:lang w:eastAsia="zh-CN" w:bidi="hi-IN"/>
        </w:rPr>
        <w:t>обеспечения</w:t>
      </w:r>
      <w:r>
        <w:rPr>
          <w:lang w:eastAsia="zh-CN" w:bidi="hi-IN"/>
        </w:rPr>
        <w:t xml:space="preserve"> </w:t>
      </w:r>
      <w:r>
        <w:rPr>
          <w:rFonts w:eastAsia="Lucida Sans Unicode"/>
          <w:lang w:eastAsia="zh-CN" w:bidi="hi-IN"/>
        </w:rPr>
        <w:t>благоприятных</w:t>
      </w:r>
      <w:r>
        <w:rPr>
          <w:lang w:eastAsia="zh-CN" w:bidi="hi-IN"/>
        </w:rPr>
        <w:t xml:space="preserve"> </w:t>
      </w:r>
      <w:r>
        <w:rPr>
          <w:rFonts w:eastAsia="Lucida Sans Unicode"/>
          <w:lang w:eastAsia="zh-CN" w:bidi="hi-IN"/>
        </w:rPr>
        <w:t>условий</w:t>
      </w:r>
      <w:r>
        <w:rPr>
          <w:lang w:eastAsia="zh-CN" w:bidi="hi-IN"/>
        </w:rPr>
        <w:t xml:space="preserve"> </w:t>
      </w:r>
      <w:r>
        <w:rPr>
          <w:rFonts w:eastAsia="Lucida Sans Unicode"/>
          <w:lang w:eastAsia="zh-CN" w:bidi="hi-IN"/>
        </w:rPr>
        <w:t>жизнедеятельности</w:t>
      </w:r>
      <w:r>
        <w:rPr>
          <w:lang w:eastAsia="zh-CN" w:bidi="hi-IN"/>
        </w:rPr>
        <w:t xml:space="preserve"> </w:t>
      </w:r>
      <w:r>
        <w:rPr>
          <w:rFonts w:eastAsia="Lucida Sans Unicode"/>
          <w:lang w:eastAsia="zh-CN" w:bidi="hi-IN"/>
        </w:rPr>
        <w:t>населения</w:t>
      </w:r>
      <w:r>
        <w:rPr>
          <w:lang w:eastAsia="zh-CN" w:bidi="hi-IN"/>
        </w:rPr>
        <w:t xml:space="preserve">  муниципального образования «Боханский район»</w:t>
      </w:r>
      <w:r>
        <w:rPr>
          <w:rFonts w:eastAsia="Lucida Sans Unicode"/>
          <w:lang w:eastAsia="zh-CN" w:bidi="hi-IN"/>
        </w:rPr>
        <w:t>.</w:t>
      </w:r>
    </w:p>
    <w:p>
      <w:pPr>
        <w:pStyle w:val="Normal"/>
        <w:widowControl w:val="false"/>
        <w:tabs>
          <w:tab w:val="left" w:pos="3544" w:leader="none"/>
        </w:tabs>
        <w:spacing w:before="0" w:after="0"/>
        <w:ind w:firstLine="709"/>
        <w:contextualSpacing/>
        <w:jc w:val="both"/>
        <w:rPr/>
      </w:pPr>
      <w:r>
        <w:rPr/>
        <w:t>Настоящие нормативы применяются при подготовке, согласовании, экспертизе, утвер</w:t>
        <w:softHyphen/>
        <w:t>ждении и реализации документов территориального планирования, градостроительного зонирования, планировки территории, а также используются для принятия решений органами государственной власти, органами местного самоуправления, должностными лицами, осуще</w:t>
        <w:softHyphen/>
        <w:t xml:space="preserve">ствляющими контроль за градостроительной (строительной) деятельностью на территории  муниципального образования «Боханский район», физическими и юридическими лицами, а также судебными органами, как основание для разрешения споров по вопросам градостроительной деятельности. </w:t>
      </w:r>
    </w:p>
    <w:p>
      <w:pPr>
        <w:pStyle w:val="Normal"/>
        <w:widowControl w:val="false"/>
        <w:tabs>
          <w:tab w:val="left" w:pos="3544" w:leader="none"/>
        </w:tabs>
        <w:spacing w:before="0" w:after="0"/>
        <w:ind w:firstLine="709"/>
        <w:contextualSpacing/>
        <w:jc w:val="both"/>
        <w:rPr/>
      </w:pPr>
      <w:r>
        <w:rPr/>
        <w:t xml:space="preserve">Содержание  нормативов  градостроительного  проектирования соответствует части  5 статьи 29.2 Градостроительного  кодекса Российской Федерации, и включает в себя: </w:t>
      </w:r>
    </w:p>
    <w:p>
      <w:pPr>
        <w:pStyle w:val="Normal"/>
        <w:widowControl w:val="false"/>
        <w:numPr>
          <w:ilvl w:val="0"/>
          <w:numId w:val="1"/>
        </w:numPr>
        <w:tabs>
          <w:tab w:val="left" w:pos="1134" w:leader="none"/>
          <w:tab w:val="left" w:pos="3544" w:leader="none"/>
        </w:tabs>
        <w:spacing w:before="0" w:after="0"/>
        <w:ind w:left="0" w:firstLine="709"/>
        <w:contextualSpacing/>
        <w:jc w:val="both"/>
        <w:rPr/>
      </w:pPr>
      <w:r>
        <w:rPr/>
        <w:t xml:space="preserve">Основная часть (расчетные показатели минимально допустимого уровня  обеспеченности  объектами  местного  значения населения муниципального образования «Боханский район», относящимися  к  областям,  указанным  в  пункте  1  части  3  статьи  19 Градостроительного    кодекса  Российской  Федерации,  населения муниципального образования «Боханский район» и расчетные  показатели максимально  допустимого  уровня  территориальной  доступности  таких объектов для населения муниципального образования «Боханский район»; </w:t>
      </w:r>
    </w:p>
    <w:p>
      <w:pPr>
        <w:pStyle w:val="Normal"/>
        <w:widowControl w:val="false"/>
        <w:numPr>
          <w:ilvl w:val="0"/>
          <w:numId w:val="1"/>
        </w:numPr>
        <w:tabs>
          <w:tab w:val="left" w:pos="1134" w:leader="none"/>
          <w:tab w:val="left" w:pos="3544" w:leader="none"/>
        </w:tabs>
        <w:spacing w:before="0" w:after="0"/>
        <w:ind w:left="0" w:firstLine="709"/>
        <w:contextualSpacing/>
        <w:jc w:val="both"/>
        <w:rPr/>
      </w:pPr>
      <w:r>
        <w:rPr/>
        <w:t>материалы  по  обоснованию  нормативов градостроительного проектирования (материалы по обоснованию расчетных показателей, содержащихся в основной части нормативов градостроительного проектирования муниципального образования «Боханский район»);</w:t>
      </w:r>
    </w:p>
    <w:p>
      <w:pPr>
        <w:pStyle w:val="Normal"/>
        <w:widowControl w:val="false"/>
        <w:numPr>
          <w:ilvl w:val="0"/>
          <w:numId w:val="1"/>
        </w:numPr>
        <w:tabs>
          <w:tab w:val="left" w:pos="1134" w:leader="none"/>
          <w:tab w:val="left" w:pos="3544" w:leader="none"/>
        </w:tabs>
        <w:spacing w:before="0" w:after="0"/>
        <w:ind w:left="0" w:firstLine="709"/>
        <w:contextualSpacing/>
        <w:jc w:val="both"/>
        <w:rPr/>
      </w:pPr>
      <w:r>
        <w:rPr/>
        <w:t xml:space="preserve">правила  и  область  применения  расчетных  показателей, содержащихся  в  основной  части  нормативов  градостроительного проектирования муниципального образования «Боханский район». </w:t>
      </w:r>
    </w:p>
    <w:p>
      <w:pPr>
        <w:pStyle w:val="ConsNormal"/>
        <w:tabs>
          <w:tab w:val="left" w:pos="3544" w:leader="none"/>
        </w:tabs>
        <w:spacing w:before="0" w:after="0"/>
        <w:ind w:right="0" w:firstLine="709"/>
        <w:contextualSpacing/>
        <w:jc w:val="both"/>
        <w:rPr>
          <w:rFonts w:ascii="Times New Roman" w:hAnsi="Times New Roman" w:cs="Times New Roman"/>
          <w:sz w:val="24"/>
          <w:szCs w:val="24"/>
        </w:rPr>
      </w:pPr>
      <w:r>
        <w:rPr>
          <w:rFonts w:cs="Times New Roman" w:ascii="Times New Roman" w:hAnsi="Times New Roman"/>
          <w:sz w:val="24"/>
          <w:szCs w:val="24"/>
        </w:rPr>
        <w:t>Настоящие нормативы градостроительного проектирования содержат расчетные показатели обеспечения благоприятных условий жизнедеятельности человека, которые не превышают максимальные расчетные показатели и не ниже минимальных показателей обеспечения благоприятных условий жизнедеятельности человека, содержащиеся в региональных нормативах градостроительного проектирования Иркутской области.</w:t>
      </w:r>
    </w:p>
    <w:p>
      <w:pPr>
        <w:pStyle w:val="ConsNormal"/>
        <w:tabs>
          <w:tab w:val="left" w:pos="3544" w:leader="none"/>
        </w:tabs>
        <w:spacing w:before="0" w:after="0"/>
        <w:ind w:right="0" w:firstLine="709"/>
        <w:contextualSpacing/>
        <w:jc w:val="both"/>
        <w:rPr>
          <w:rFonts w:ascii="Times New Roman" w:hAnsi="Times New Roman" w:cs="Times New Roman"/>
          <w:sz w:val="24"/>
          <w:szCs w:val="24"/>
        </w:rPr>
      </w:pPr>
      <w:r>
        <w:rPr>
          <w:rFonts w:cs="Times New Roman" w:ascii="Times New Roman" w:hAnsi="Times New Roman"/>
          <w:sz w:val="24"/>
          <w:szCs w:val="24"/>
        </w:rPr>
        <w:t>По вопросам, не рассматриваемым в настоящих нормативах, следует руководствовать</w:t>
        <w:softHyphen/>
        <w:t>ся законами и нормативно-техническими документами, действующими на территории Рос</w:t>
        <w:softHyphen/>
        <w:t>сийской Федерации в соответствии с требованиями Федерального закона от 27.12.2002  № 184-ФЗ «О техническом регулировании». При отмене и изменении действующих норма</w:t>
        <w:softHyphen/>
        <w:t>тивных документов, в том числе тех, на которые дается ссылка в настоящих нормах, следует руководствоваться нормами, вводимыми взамен отмененных.</w:t>
      </w:r>
    </w:p>
    <w:p>
      <w:pPr>
        <w:pStyle w:val="Normal"/>
        <w:widowControl w:val="false"/>
        <w:numPr>
          <w:ilvl w:val="0"/>
          <w:numId w:val="4"/>
        </w:numPr>
        <w:tabs>
          <w:tab w:val="left" w:pos="0" w:leader="none"/>
        </w:tabs>
        <w:spacing w:before="155" w:after="0"/>
        <w:contextualSpacing/>
        <w:jc w:val="center"/>
        <w:rPr>
          <w:b/>
          <w:b/>
          <w:color w:val="000000"/>
        </w:rPr>
      </w:pPr>
      <w:r>
        <w:rPr>
          <w:b/>
          <w:color w:val="000000"/>
        </w:rPr>
      </w:r>
      <w:r>
        <w:br w:type="page"/>
      </w:r>
    </w:p>
    <w:p>
      <w:pPr>
        <w:pStyle w:val="ListParagraph"/>
        <w:widowControl w:val="false"/>
        <w:numPr>
          <w:ilvl w:val="0"/>
          <w:numId w:val="7"/>
        </w:numPr>
        <w:tabs>
          <w:tab w:val="left" w:pos="0" w:leader="none"/>
        </w:tabs>
        <w:spacing w:before="155" w:after="0"/>
        <w:jc w:val="center"/>
        <w:rPr>
          <w:b/>
          <w:b/>
          <w:color w:val="000000"/>
        </w:rPr>
      </w:pPr>
      <w:r>
        <w:rPr>
          <w:b/>
          <w:color w:val="000000"/>
        </w:rPr>
        <w:t>ОБЩАЯ ЧАСТЬ</w:t>
      </w:r>
    </w:p>
    <w:p>
      <w:pPr>
        <w:pStyle w:val="Normal"/>
        <w:jc w:val="both"/>
        <w:rPr>
          <w:b/>
          <w:b/>
          <w:i/>
          <w:i/>
        </w:rPr>
      </w:pPr>
      <w:bookmarkStart w:id="0" w:name="_Глава_2._Административно-территориа"/>
      <w:bookmarkEnd w:id="0"/>
      <w:r>
        <w:rPr>
          <w:b/>
          <w:i/>
        </w:rPr>
        <w:t>Глава 1.1. Общая информация о муниципальном образовании "Боханский район" Иркутской области. Географическое положение. Природно-климатические условия.</w:t>
      </w:r>
    </w:p>
    <w:p>
      <w:pPr>
        <w:pStyle w:val="ConsTitle"/>
        <w:ind w:firstLine="851"/>
        <w:jc w:val="both"/>
        <w:rPr>
          <w:rFonts w:ascii="Times New Roman" w:hAnsi="Times New Roman"/>
          <w:b w:val="false"/>
          <w:b w:val="false"/>
          <w:sz w:val="24"/>
          <w:szCs w:val="24"/>
        </w:rPr>
      </w:pPr>
      <w:r>
        <w:rPr>
          <w:rFonts w:ascii="Times New Roman" w:hAnsi="Times New Roman"/>
          <w:b w:val="false"/>
          <w:sz w:val="24"/>
          <w:szCs w:val="24"/>
        </w:rPr>
        <w:t>Боханский район образован 9 января 1922 года.</w:t>
      </w:r>
    </w:p>
    <w:p>
      <w:pPr>
        <w:pStyle w:val="ConsTitle"/>
        <w:ind w:firstLine="851"/>
        <w:jc w:val="both"/>
        <w:rPr>
          <w:rFonts w:ascii="Times New Roman" w:hAnsi="Times New Roman"/>
          <w:b w:val="false"/>
          <w:b w:val="false"/>
          <w:sz w:val="24"/>
          <w:szCs w:val="24"/>
        </w:rPr>
      </w:pPr>
      <w:r>
        <w:rPr>
          <w:rFonts w:ascii="Times New Roman" w:hAnsi="Times New Roman"/>
          <w:b w:val="false"/>
          <w:sz w:val="24"/>
          <w:szCs w:val="24"/>
        </w:rPr>
        <w:t xml:space="preserve">Район является  одним из крупнейших сельскохозяйственных районов Иркутской области, расположен на юге Усть-Ордынского  автономного округа. Район граничит на севере, северо-востоке и северо-западе с Аларским, Осинским и Качугским районами, на юге – Черемховским, Усольским, Иркутским и Эхирит - Булагатским районами. </w:t>
      </w:r>
    </w:p>
    <w:p>
      <w:pPr>
        <w:pStyle w:val="ConsTitle"/>
        <w:ind w:firstLine="851"/>
        <w:jc w:val="both"/>
        <w:rPr>
          <w:rFonts w:ascii="Times New Roman" w:hAnsi="Times New Roman"/>
          <w:b w:val="false"/>
          <w:b w:val="false"/>
          <w:sz w:val="24"/>
          <w:szCs w:val="24"/>
        </w:rPr>
      </w:pPr>
      <w:r>
        <w:rPr>
          <w:rFonts w:ascii="Times New Roman" w:hAnsi="Times New Roman"/>
          <w:b w:val="false"/>
          <w:sz w:val="24"/>
          <w:szCs w:val="24"/>
        </w:rPr>
        <w:t xml:space="preserve">Площадь территории  района составляет 370,2 тыс.га, в т.ч. 198,5 тыс.га  под лесами, 115,6 тыс.га под сельхозугодиями. </w:t>
      </w:r>
    </w:p>
    <w:p>
      <w:pPr>
        <w:pStyle w:val="ConsTitle"/>
        <w:ind w:firstLine="851"/>
        <w:jc w:val="both"/>
        <w:rPr>
          <w:rFonts w:ascii="Times New Roman" w:hAnsi="Times New Roman"/>
          <w:b w:val="false"/>
          <w:b w:val="false"/>
          <w:sz w:val="24"/>
          <w:szCs w:val="24"/>
        </w:rPr>
      </w:pPr>
      <w:r>
        <w:rPr>
          <w:rFonts w:ascii="Times New Roman" w:hAnsi="Times New Roman"/>
          <w:b w:val="false"/>
          <w:sz w:val="24"/>
          <w:szCs w:val="24"/>
        </w:rPr>
        <w:t>В административном отношении входит в состав Иркутской области и Сибирского Федерального округа.</w:t>
      </w:r>
    </w:p>
    <w:p>
      <w:pPr>
        <w:pStyle w:val="ConsTitle"/>
        <w:ind w:firstLine="851"/>
        <w:jc w:val="both"/>
        <w:rPr>
          <w:rFonts w:ascii="Times New Roman" w:hAnsi="Times New Roman"/>
          <w:sz w:val="24"/>
          <w:szCs w:val="24"/>
        </w:rPr>
      </w:pPr>
      <w:r>
        <w:rPr>
          <w:rFonts w:ascii="Times New Roman" w:hAnsi="Times New Roman"/>
          <w:b w:val="false"/>
          <w:sz w:val="24"/>
          <w:szCs w:val="24"/>
        </w:rPr>
        <w:t>Районным центром является п.Бохан, расположенный в 100 км от  поселка Усть-Ордынский и в 128 км от г.Иркутска.</w:t>
      </w:r>
      <w:r>
        <w:rPr>
          <w:rFonts w:ascii="Times New Roman" w:hAnsi="Times New Roman"/>
          <w:sz w:val="24"/>
          <w:szCs w:val="24"/>
        </w:rPr>
        <w:t xml:space="preserve"> </w:t>
      </w:r>
    </w:p>
    <w:p>
      <w:pPr>
        <w:pStyle w:val="Normal"/>
        <w:ind w:firstLine="709"/>
        <w:jc w:val="both"/>
        <w:rPr/>
      </w:pPr>
      <w:r>
        <w:rPr/>
        <w:t xml:space="preserve">Климат района резко-континентальный с продолжительной холодной зимой и относительно жарким и коротким летом. Среднегодовое количество осадков составляет 323мм, из них 57% приходится на летние месяцы (июнь, июль, август). </w:t>
      </w:r>
    </w:p>
    <w:p>
      <w:pPr>
        <w:pStyle w:val="Normal"/>
        <w:ind w:firstLine="708"/>
        <w:jc w:val="both"/>
        <w:rPr/>
      </w:pPr>
      <w:r>
        <w:rPr/>
        <w:t xml:space="preserve"> </w:t>
      </w:r>
      <w:r>
        <w:rPr/>
        <w:t>Высота снежного покрова варьируется в пределах 25 –  40 см. В течение года преобладают ветры северо-западного и юго-восточного направления.</w:t>
      </w:r>
    </w:p>
    <w:p>
      <w:pPr>
        <w:pStyle w:val="Normal"/>
        <w:ind w:firstLine="709"/>
        <w:jc w:val="both"/>
        <w:rPr/>
      </w:pPr>
      <w:r>
        <w:rPr/>
        <w:t>По многолетним данным среднегодовая температура воздуха равняется -3,1°. Абсолютные минимальные температуры наблюдаются в январе -55°, абсолютные максимальные в июле +37°.</w:t>
      </w:r>
    </w:p>
    <w:p>
      <w:pPr>
        <w:pStyle w:val="Normal"/>
        <w:ind w:firstLine="709"/>
        <w:jc w:val="both"/>
        <w:rPr/>
      </w:pPr>
      <w:r>
        <w:rPr/>
        <w:t xml:space="preserve">Средняя продолжительность вегетационного периода составляет 140-150 дней. Начало вегетационного периода - первая декада мая, конец - последняя декада сентября. </w:t>
      </w:r>
    </w:p>
    <w:p>
      <w:pPr>
        <w:pStyle w:val="Normal"/>
        <w:ind w:firstLine="720"/>
        <w:jc w:val="both"/>
        <w:rPr/>
      </w:pPr>
      <w:r>
        <w:rPr/>
        <w:t>Зимой количество осадков выпадает около 10-12% от их годовой суммы, что влияет на влагообеспеченность почвы к началу вегетации растений. В условиях интенсивного таяния снега весной, при значительном промерзании почвы, это обуславливает активный поверхностный сток и значительный дефицит влаги в почве к началу лета.</w:t>
      </w:r>
    </w:p>
    <w:p>
      <w:pPr>
        <w:pStyle w:val="Normal"/>
        <w:ind w:firstLine="709"/>
        <w:jc w:val="both"/>
        <w:rPr/>
      </w:pPr>
      <w:r>
        <w:rPr/>
        <w:t>Весна характеризуется также малым  количеством осадков, низкой относительной влажностью воздуха (35-40 %), Сильными ветрами (5,7 м/сек), и довольно частыми поздними заморозками</w:t>
      </w:r>
    </w:p>
    <w:p>
      <w:pPr>
        <w:pStyle w:val="Normal"/>
        <w:ind w:firstLine="709"/>
        <w:jc w:val="both"/>
        <w:rPr/>
      </w:pPr>
      <w:r>
        <w:rPr/>
        <w:t>Летний период сравнительно короткий. В этот период выпадает наибольшее количество осадков, отмечается большое количество солнечных дней с высокой дневной температурой.</w:t>
      </w:r>
    </w:p>
    <w:p>
      <w:pPr>
        <w:pStyle w:val="Normal"/>
        <w:ind w:firstLine="709"/>
        <w:jc w:val="both"/>
        <w:rPr/>
      </w:pPr>
      <w:r>
        <w:rPr/>
        <w:t>Осень характеризуется почти безветренным с малым количеством осадков (35-40 мм) и ранними заморозками периодом.</w:t>
      </w:r>
    </w:p>
    <w:p>
      <w:pPr>
        <w:pStyle w:val="Normal"/>
        <w:ind w:firstLine="709"/>
        <w:jc w:val="both"/>
        <w:rPr/>
      </w:pPr>
      <w:r>
        <w:rPr/>
        <w:t>Таким образом, довольно высокие среднемесячные температуры вегетационного периода, значительное количество выпадающих  в летний период осадков и наличие в этот период дневной, интенсивной солнечной радиации создают вполне благоприятные условия для сельского хозяйства.</w:t>
      </w:r>
    </w:p>
    <w:p>
      <w:pPr>
        <w:pStyle w:val="Normal"/>
        <w:ind w:firstLine="709"/>
        <w:jc w:val="both"/>
        <w:rPr/>
      </w:pPr>
      <w:r>
        <w:rPr/>
        <w:t>Климатическими факторами, отрицательно влияющими на рост и развитие сельскохозяйственных культур, являются:</w:t>
      </w:r>
    </w:p>
    <w:p>
      <w:pPr>
        <w:pStyle w:val="Normal"/>
        <w:numPr>
          <w:ilvl w:val="0"/>
          <w:numId w:val="9"/>
        </w:numPr>
        <w:suppressAutoHyphens w:val="true"/>
        <w:overflowPunct w:val="true"/>
        <w:jc w:val="both"/>
        <w:textAlignment w:val="baseline"/>
        <w:rPr/>
      </w:pPr>
      <w:r>
        <w:rPr/>
        <w:t xml:space="preserve">поздние весенние и ранние, осенние  заморозки, </w:t>
      </w:r>
    </w:p>
    <w:p>
      <w:pPr>
        <w:pStyle w:val="Normal"/>
        <w:numPr>
          <w:ilvl w:val="0"/>
          <w:numId w:val="9"/>
        </w:numPr>
        <w:suppressAutoHyphens w:val="true"/>
        <w:overflowPunct w:val="true"/>
        <w:jc w:val="both"/>
        <w:textAlignment w:val="baseline"/>
        <w:rPr/>
      </w:pPr>
      <w:r>
        <w:rPr/>
        <w:t xml:space="preserve">относительно короткий вегетационный период, </w:t>
      </w:r>
    </w:p>
    <w:p>
      <w:pPr>
        <w:pStyle w:val="Normal"/>
        <w:numPr>
          <w:ilvl w:val="0"/>
          <w:numId w:val="9"/>
        </w:numPr>
        <w:suppressAutoHyphens w:val="true"/>
        <w:overflowPunct w:val="true"/>
        <w:jc w:val="both"/>
        <w:textAlignment w:val="baseline"/>
        <w:rPr/>
      </w:pPr>
      <w:r>
        <w:rPr/>
        <w:t xml:space="preserve">малоснежные зимы с глубоким промерзанием почвы, </w:t>
      </w:r>
    </w:p>
    <w:p>
      <w:pPr>
        <w:pStyle w:val="Normal"/>
        <w:numPr>
          <w:ilvl w:val="0"/>
          <w:numId w:val="9"/>
        </w:numPr>
        <w:suppressAutoHyphens w:val="true"/>
        <w:overflowPunct w:val="true"/>
        <w:jc w:val="both"/>
        <w:textAlignment w:val="baseline"/>
        <w:rPr/>
      </w:pPr>
      <w:r>
        <w:rPr/>
        <w:t xml:space="preserve">холодные ветры, </w:t>
      </w:r>
    </w:p>
    <w:p>
      <w:pPr>
        <w:pStyle w:val="Normal"/>
        <w:numPr>
          <w:ilvl w:val="0"/>
          <w:numId w:val="9"/>
        </w:numPr>
        <w:suppressAutoHyphens w:val="true"/>
        <w:overflowPunct w:val="true"/>
        <w:jc w:val="both"/>
        <w:textAlignment w:val="baseline"/>
        <w:rPr/>
      </w:pPr>
      <w:r>
        <w:rPr/>
        <w:t>сильные морозы, наличие вечной мерзлоты.</w:t>
      </w:r>
    </w:p>
    <w:p>
      <w:pPr>
        <w:pStyle w:val="Normal"/>
        <w:ind w:firstLine="708"/>
        <w:jc w:val="both"/>
        <w:rPr/>
      </w:pPr>
      <w:r>
        <w:rPr/>
        <w:t>Почвы Боханского района принадлежат к ценным среднемощным и маломощным гумусовым черноземам, серым лесным и дерново-карбонатным коричневым. Естественное плодородие снижено в результате длительного хозяйственного использования.</w:t>
      </w:r>
    </w:p>
    <w:p>
      <w:pPr>
        <w:pStyle w:val="Normal"/>
        <w:ind w:firstLine="708"/>
        <w:jc w:val="both"/>
        <w:rPr/>
      </w:pPr>
      <w:r>
        <w:rPr/>
        <w:t>Агроклиматические условия Боханского района создают благоприятный для сельскохозяйственного производства пониженный равнинный лесостепной комплекс со спокойными, мягкими формами рельефа и небольшой расчлененностью территории речными долинами, оврагами и балками. Сумма активных температур 1400-1700*С. Вегетативный период теплый и умеренно-теплый со средними температурами июля около 17-18*С, его продолжительность 80-125 дней. Вегетационный период начинается 4-6 мая и заканчивается 2-7 сентября, что позволяет возделывать значительный набор сельскохозяйственных культур. Лимитирующими факторами являются засушливые явления в весенне-летний период и позднее - весенние и ране - осенние заморозки. Сумма температур 1450-1550*С, осадки 280-320 мм.</w:t>
      </w:r>
    </w:p>
    <w:p>
      <w:pPr>
        <w:pStyle w:val="Normal"/>
        <w:ind w:firstLine="708"/>
        <w:jc w:val="both"/>
        <w:rPr/>
      </w:pPr>
      <w:r>
        <w:rPr/>
        <w:t>На территории района имеются значительные запасы биологических ресурсов – лесных и охотничье-промысловых – имеющих большое хозяйственное значение. В среднем на одного жителя района приходится около 8 га лесов. Наиболее перспективна в плане разработки лесных ресурсов правобережная часть р.Ангары. На территории имеется свыше 100 видов дикорастущих растений. Наибольший интерес представляют ягодные растения, папоротник-орляк, а также лекарственные растения, которых насчитывается около 300 видов. Численность млекопитающих и птиц, обитающих на территории, значительно сокращена, и сегодня представляет интерес, в основном, для любительской охоты.</w:t>
      </w:r>
    </w:p>
    <w:p>
      <w:pPr>
        <w:pStyle w:val="Normal"/>
        <w:widowControl w:val="false"/>
        <w:ind w:right="129" w:firstLine="708"/>
        <w:jc w:val="both"/>
        <w:rPr/>
      </w:pPr>
      <w:r>
        <w:rPr/>
        <w:t xml:space="preserve">Сочетание сельскохозяйственной деятельности с формированием лесной промышленности в Олонках, Бохане, расположенных в приграничной зоне Боханского района, определяет трансформацию лесостепных и подтаежных геосистем. </w:t>
      </w:r>
    </w:p>
    <w:p>
      <w:pPr>
        <w:pStyle w:val="Normal"/>
        <w:suppressAutoHyphens w:val="true"/>
        <w:ind w:firstLine="709"/>
        <w:jc w:val="both"/>
        <w:rPr/>
      </w:pPr>
      <w:r>
        <w:rPr/>
        <w:t xml:space="preserve">В составе сельхозугодий пашня значительно превышает площадь естественных кормовых угодий. Они находятся в отдалении от города, что позволяет получать экологически чистую продукцию. </w:t>
      </w:r>
    </w:p>
    <w:p>
      <w:pPr>
        <w:pStyle w:val="Normal"/>
        <w:jc w:val="both"/>
        <w:rPr/>
      </w:pPr>
      <w:r>
        <w:rPr/>
        <w:tab/>
        <w:t>Испокон веков основными занятиями для жителей района являлись заготовка и переработка леса, производство, переработка и реализация продукции животноводства и растениеводства. Эти направления деятельности остаются приоритетными и в настоящее время.</w:t>
      </w:r>
    </w:p>
    <w:p>
      <w:pPr>
        <w:pStyle w:val="Normal"/>
        <w:shd w:val="clear" w:color="auto" w:fill="FFFFFF"/>
        <w:tabs>
          <w:tab w:val="left" w:pos="3544" w:leader="none"/>
        </w:tabs>
        <w:ind w:firstLine="540"/>
        <w:jc w:val="both"/>
        <w:rPr/>
      </w:pPr>
      <w:r>
        <w:rPr/>
      </w:r>
    </w:p>
    <w:p>
      <w:pPr>
        <w:pStyle w:val="Normal"/>
        <w:rPr/>
      </w:pPr>
      <w:r>
        <w:rPr>
          <w:b/>
          <w:i/>
        </w:rPr>
        <w:t>Глава 1.2. Административно-территориальное устройство.</w:t>
      </w:r>
      <w:r>
        <w:rPr/>
        <w:tab/>
      </w:r>
    </w:p>
    <w:p>
      <w:pPr>
        <w:pStyle w:val="Normal"/>
        <w:ind w:firstLine="709"/>
        <w:jc w:val="both"/>
        <w:rPr/>
      </w:pPr>
      <w:r>
        <w:rPr/>
        <w:t>В соответствии с Федеральным законом от 6 октября 2003г. №131-ФЗ «Об общих принципах организации местного самоуправления в Российской Федерации» постановлением №1307 от 30.06.2004г. Боханский район имеет статус муниципального образования и является совокупностью муниципальных поселений объединенных общей территорией, в пределах которой осуществляется местное самоуправление. Имеется муниципальная собственность, местный бюджет и выборные органы местного самоуправления действующие на основе Конституции Российской Федерации, Федерального закона «Об общих принципах организации местного самоуправления в Российской Федерации»,  Устава МО « Боханский  район».</w:t>
      </w:r>
    </w:p>
    <w:p>
      <w:pPr>
        <w:pStyle w:val="Normal"/>
        <w:ind w:firstLine="709"/>
        <w:jc w:val="both"/>
        <w:rPr/>
      </w:pPr>
      <w:r>
        <w:rPr/>
        <w:t>МО «Боханский район» – система, включающая в себя 13 сельских муниципальных образований.</w:t>
      </w:r>
    </w:p>
    <w:p>
      <w:pPr>
        <w:pStyle w:val="Normal"/>
        <w:ind w:firstLine="709"/>
        <w:jc w:val="both"/>
        <w:rPr/>
      </w:pPr>
      <w:r>
        <w:rPr/>
        <w:t>В Боханском районе местное самоуправление образует единую систему управления, которая осуществляется путем:</w:t>
      </w:r>
    </w:p>
    <w:p>
      <w:pPr>
        <w:pStyle w:val="Normal"/>
        <w:tabs>
          <w:tab w:val="right" w:pos="9459" w:leader="none"/>
        </w:tabs>
        <w:ind w:firstLine="709"/>
        <w:jc w:val="both"/>
        <w:rPr/>
      </w:pPr>
      <w:r>
        <w:rPr/>
        <w:t>местных референдумов,</w:t>
        <w:tab/>
      </w:r>
    </w:p>
    <w:p>
      <w:pPr>
        <w:pStyle w:val="Normal"/>
        <w:ind w:firstLine="709"/>
        <w:jc w:val="both"/>
        <w:rPr/>
      </w:pPr>
      <w:r>
        <w:rPr/>
        <w:t>собраний (сходов) граждан,</w:t>
      </w:r>
    </w:p>
    <w:p>
      <w:pPr>
        <w:pStyle w:val="Normal"/>
        <w:ind w:firstLine="709"/>
        <w:jc w:val="both"/>
        <w:rPr/>
      </w:pPr>
      <w:r>
        <w:rPr/>
        <w:t>выборов, а также через выборные и другие органы местного самоуправления, через выборных должностных лиц местного самоуправления.</w:t>
      </w:r>
    </w:p>
    <w:p>
      <w:pPr>
        <w:pStyle w:val="Normal"/>
        <w:ind w:firstLine="709"/>
        <w:jc w:val="both"/>
        <w:rPr/>
      </w:pPr>
      <w:r>
        <w:rPr/>
        <w:t>Районная Дума – выборный представительный орган района.</w:t>
      </w:r>
    </w:p>
    <w:p>
      <w:pPr>
        <w:pStyle w:val="Normal"/>
        <w:ind w:firstLine="709"/>
        <w:jc w:val="both"/>
        <w:rPr/>
      </w:pPr>
      <w:r>
        <w:rPr/>
        <w:t xml:space="preserve">Мэр района – выборное должностное лицо, возглавляющее деятельность органов местного самоуправления на территории района. </w:t>
      </w:r>
    </w:p>
    <w:p>
      <w:pPr>
        <w:pStyle w:val="Normal"/>
        <w:ind w:firstLine="709"/>
        <w:jc w:val="both"/>
        <w:rPr/>
      </w:pPr>
      <w:r>
        <w:rPr/>
        <w:t xml:space="preserve">Администрация муниципального района – орган местного самоуправления района, осуществляющий организационно–распределительные функции: наименование, тип административно-территориальных единиц, их статус. Количество населенных пунктов и численность населения  сельских поселений на 01.01.2015г. приводится ниже, в таблице №1. </w:t>
      </w:r>
    </w:p>
    <w:p>
      <w:pPr>
        <w:pStyle w:val="Normal"/>
        <w:ind w:firstLine="708"/>
        <w:jc w:val="both"/>
        <w:rPr/>
      </w:pPr>
      <w:r>
        <w:rPr/>
        <w:t xml:space="preserve">                                                                                                                                      </w:t>
      </w:r>
      <w:r>
        <w:rPr/>
        <w:t>Таблица №1</w:t>
      </w:r>
    </w:p>
    <w:tbl>
      <w:tblPr>
        <w:tblW w:w="4950" w:type="pct"/>
        <w:jc w:val="left"/>
        <w:tblInd w:w="0" w:type="dxa"/>
        <w:tblBorders>
          <w:top w:val="thinThickSmallGap" w:sz="12" w:space="0" w:color="00000A"/>
          <w:left w:val="single" w:sz="6" w:space="0" w:color="00000A"/>
          <w:bottom w:val="thinThickSmallGap" w:sz="12" w:space="0" w:color="00000A"/>
          <w:right w:val="single" w:sz="6" w:space="0" w:color="00000A"/>
          <w:insideH w:val="thinThickSmallGap" w:sz="12" w:space="0" w:color="00000A"/>
          <w:insideV w:val="single" w:sz="6" w:space="0" w:color="00000A"/>
        </w:tblBorders>
        <w:tblCellMar>
          <w:top w:w="0" w:type="dxa"/>
          <w:left w:w="22" w:type="dxa"/>
          <w:bottom w:w="0" w:type="dxa"/>
          <w:right w:w="30" w:type="dxa"/>
        </w:tblCellMar>
        <w:tblLook w:val="04a0"/>
      </w:tblPr>
      <w:tblGrid>
        <w:gridCol w:w="2493"/>
        <w:gridCol w:w="1423"/>
        <w:gridCol w:w="1076"/>
        <w:gridCol w:w="1426"/>
        <w:gridCol w:w="1424"/>
        <w:gridCol w:w="1418"/>
      </w:tblGrid>
      <w:tr>
        <w:trPr>
          <w:tblHeader w:val="true"/>
          <w:trHeight w:val="290" w:hRule="atLeast"/>
        </w:trPr>
        <w:tc>
          <w:tcPr>
            <w:tcW w:w="2493" w:type="dxa"/>
            <w:vMerge w:val="restart"/>
            <w:tcBorders>
              <w:top w:val="thinThickSmallGap" w:sz="12" w:space="0" w:color="00000A"/>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center"/>
          </w:tcPr>
          <w:p>
            <w:pPr>
              <w:pStyle w:val="Normal"/>
              <w:spacing w:lineRule="auto" w:line="276" w:before="0" w:after="20"/>
              <w:jc w:val="center"/>
              <w:rPr>
                <w:rFonts w:cs="Arial"/>
                <w:color w:val="000000"/>
                <w:sz w:val="22"/>
                <w:szCs w:val="20"/>
              </w:rPr>
            </w:pPr>
            <w:r>
              <w:rPr>
                <w:rFonts w:cs="Arial"/>
                <w:color w:val="000000"/>
                <w:sz w:val="22"/>
                <w:szCs w:val="20"/>
              </w:rPr>
              <w:t>Состав сельского поселения (перечень населенных пунктов)</w:t>
            </w:r>
          </w:p>
        </w:tc>
        <w:tc>
          <w:tcPr>
            <w:tcW w:w="3925" w:type="dxa"/>
            <w:gridSpan w:val="3"/>
            <w:tcBorders>
              <w:top w:val="thinThickSmallGap"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spacing w:lineRule="auto" w:line="276" w:before="0" w:after="20"/>
              <w:jc w:val="center"/>
              <w:rPr>
                <w:rFonts w:cs="Arial"/>
                <w:color w:val="000000"/>
                <w:sz w:val="22"/>
                <w:szCs w:val="20"/>
              </w:rPr>
            </w:pPr>
            <w:r>
              <w:rPr>
                <w:rFonts w:cs="Arial"/>
                <w:color w:val="000000"/>
                <w:sz w:val="22"/>
                <w:szCs w:val="20"/>
              </w:rPr>
            </w:r>
          </w:p>
        </w:tc>
        <w:tc>
          <w:tcPr>
            <w:tcW w:w="1424" w:type="dxa"/>
            <w:vMerge w:val="restart"/>
            <w:tcBorders>
              <w:top w:val="thinThickSmallGap" w:sz="12" w:space="0" w:color="00000A"/>
              <w:left w:val="single" w:sz="6" w:space="0" w:color="00000A"/>
              <w:right w:val="single" w:sz="6" w:space="0" w:color="00000A"/>
              <w:insideV w:val="single" w:sz="6" w:space="0" w:color="00000A"/>
            </w:tcBorders>
            <w:shd w:fill="auto" w:val="clear"/>
            <w:tcMar>
              <w:left w:w="22" w:type="dxa"/>
            </w:tcMar>
          </w:tcPr>
          <w:p>
            <w:pPr>
              <w:pStyle w:val="Normal"/>
              <w:spacing w:lineRule="auto" w:line="276" w:before="0" w:after="20"/>
              <w:jc w:val="center"/>
              <w:rPr>
                <w:rFonts w:cs="Arial"/>
                <w:color w:val="000000"/>
                <w:szCs w:val="20"/>
              </w:rPr>
            </w:pPr>
            <w:r>
              <w:rPr>
                <w:rFonts w:cs="Arial"/>
                <w:color w:val="000000"/>
                <w:szCs w:val="20"/>
              </w:rPr>
            </w:r>
          </w:p>
          <w:p>
            <w:pPr>
              <w:pStyle w:val="Normal"/>
              <w:spacing w:lineRule="auto" w:line="276" w:before="0" w:after="20"/>
              <w:jc w:val="center"/>
              <w:rPr>
                <w:rFonts w:cs="Arial"/>
                <w:color w:val="000000"/>
                <w:szCs w:val="20"/>
              </w:rPr>
            </w:pPr>
            <w:r>
              <w:rPr>
                <w:rFonts w:cs="Arial"/>
                <w:color w:val="000000"/>
                <w:szCs w:val="20"/>
              </w:rPr>
              <w:t>Расстояние от районного центра, км.</w:t>
            </w:r>
          </w:p>
        </w:tc>
        <w:tc>
          <w:tcPr>
            <w:tcW w:w="1418" w:type="dxa"/>
            <w:vMerge w:val="restart"/>
            <w:tcBorders>
              <w:top w:val="thinThickSmallGap" w:sz="12" w:space="0" w:color="00000A"/>
              <w:left w:val="single" w:sz="6" w:space="0" w:color="00000A"/>
              <w:right w:val="single" w:sz="6" w:space="0" w:color="00000A"/>
              <w:insideV w:val="single" w:sz="6" w:space="0" w:color="00000A"/>
            </w:tcBorders>
            <w:shd w:fill="auto" w:val="clear"/>
            <w:tcMar>
              <w:left w:w="22" w:type="dxa"/>
            </w:tcMar>
          </w:tcPr>
          <w:p>
            <w:pPr>
              <w:pStyle w:val="Normal"/>
              <w:spacing w:lineRule="auto" w:line="276" w:before="0" w:after="20"/>
              <w:jc w:val="center"/>
              <w:rPr>
                <w:rFonts w:cs="Arial"/>
                <w:color w:val="000000"/>
                <w:szCs w:val="20"/>
              </w:rPr>
            </w:pPr>
            <w:r>
              <w:rPr>
                <w:rFonts w:cs="Arial"/>
                <w:color w:val="000000"/>
                <w:szCs w:val="20"/>
              </w:rPr>
            </w:r>
          </w:p>
          <w:p>
            <w:pPr>
              <w:pStyle w:val="Normal"/>
              <w:spacing w:lineRule="auto" w:line="276" w:before="0" w:after="20"/>
              <w:jc w:val="center"/>
              <w:rPr>
                <w:rFonts w:cs="Arial"/>
                <w:color w:val="000000"/>
                <w:szCs w:val="20"/>
              </w:rPr>
            </w:pPr>
            <w:r>
              <w:rPr>
                <w:rFonts w:cs="Arial"/>
                <w:color w:val="000000"/>
                <w:szCs w:val="20"/>
              </w:rPr>
              <w:t>Площадь сельского поселения, кв.км.</w:t>
            </w:r>
          </w:p>
        </w:tc>
      </w:tr>
      <w:tr>
        <w:trPr>
          <w:tblHeader w:val="true"/>
          <w:trHeight w:val="290" w:hRule="atLeast"/>
        </w:trPr>
        <w:tc>
          <w:tcPr>
            <w:tcW w:w="2493" w:type="dxa"/>
            <w:vMerge w:val="continue"/>
            <w:tcBorders>
              <w:top w:val="thinThickSmallGap" w:sz="12" w:space="0" w:color="00000A"/>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center"/>
          </w:tcPr>
          <w:p>
            <w:pPr>
              <w:pStyle w:val="Normal"/>
              <w:rPr>
                <w:rFonts w:cs="Arial"/>
                <w:color w:val="000000"/>
                <w:sz w:val="22"/>
                <w:szCs w:val="20"/>
              </w:rPr>
            </w:pPr>
            <w:r>
              <w:rPr>
                <w:rFonts w:cs="Arial"/>
                <w:color w:val="000000"/>
                <w:sz w:val="22"/>
                <w:szCs w:val="20"/>
              </w:rPr>
            </w:r>
          </w:p>
        </w:tc>
        <w:tc>
          <w:tcPr>
            <w:tcW w:w="1423" w:type="dxa"/>
            <w:vMerge w:val="restart"/>
            <w:tcBorders>
              <w:top w:val="single" w:sz="6" w:space="0" w:color="00000A"/>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rmal"/>
              <w:spacing w:lineRule="auto" w:line="276" w:before="0" w:after="20"/>
              <w:jc w:val="center"/>
              <w:rPr>
                <w:rFonts w:cs="Arial"/>
                <w:color w:val="000000"/>
                <w:sz w:val="22"/>
                <w:szCs w:val="20"/>
              </w:rPr>
            </w:pPr>
            <w:r>
              <w:rPr>
                <w:rFonts w:cs="Arial"/>
                <w:color w:val="000000"/>
                <w:sz w:val="22"/>
                <w:szCs w:val="20"/>
              </w:rPr>
              <w:t xml:space="preserve">Численность постоянного населения по населенным пунктам, чел.(на 01.01.2015г) </w:t>
            </w:r>
          </w:p>
        </w:tc>
        <w:tc>
          <w:tcPr>
            <w:tcW w:w="2502" w:type="dxa"/>
            <w:gridSpan w:val="2"/>
            <w:tcBorders>
              <w:top w:val="single" w:sz="6" w:space="0" w:color="00000A"/>
              <w:left w:val="single" w:sz="6" w:space="0" w:color="00000A"/>
              <w:bottom w:val="single" w:sz="4" w:space="0" w:color="000001"/>
              <w:right w:val="single" w:sz="6" w:space="0" w:color="00000A"/>
              <w:insideH w:val="single" w:sz="4" w:space="0" w:color="000001"/>
              <w:insideV w:val="single" w:sz="6" w:space="0" w:color="00000A"/>
            </w:tcBorders>
            <w:shd w:fill="auto" w:val="clear"/>
            <w:tcMar>
              <w:left w:w="22" w:type="dxa"/>
            </w:tcMar>
          </w:tcPr>
          <w:p>
            <w:pPr>
              <w:pStyle w:val="Normal"/>
              <w:spacing w:lineRule="auto" w:line="276" w:before="0" w:after="20"/>
              <w:jc w:val="center"/>
              <w:rPr>
                <w:rFonts w:cs="Arial"/>
                <w:color w:val="000000"/>
                <w:sz w:val="22"/>
                <w:szCs w:val="20"/>
              </w:rPr>
            </w:pPr>
            <w:r>
              <w:rPr>
                <w:rFonts w:cs="Arial"/>
                <w:color w:val="000000"/>
                <w:szCs w:val="20"/>
              </w:rPr>
              <w:t>в том числе</w:t>
            </w:r>
          </w:p>
        </w:tc>
        <w:tc>
          <w:tcPr>
            <w:tcW w:w="1424" w:type="dxa"/>
            <w:vMerge w:val="continue"/>
            <w:tcBorders>
              <w:left w:val="single" w:sz="6" w:space="0" w:color="00000A"/>
              <w:right w:val="single" w:sz="6" w:space="0" w:color="00000A"/>
              <w:insideV w:val="single" w:sz="6" w:space="0" w:color="00000A"/>
            </w:tcBorders>
            <w:shd w:fill="auto" w:val="clear"/>
            <w:tcMar>
              <w:left w:w="22" w:type="dxa"/>
            </w:tcMar>
          </w:tcPr>
          <w:p>
            <w:pPr>
              <w:pStyle w:val="Normal"/>
              <w:spacing w:lineRule="auto" w:line="276" w:before="0" w:after="20"/>
              <w:jc w:val="center"/>
              <w:rPr>
                <w:rFonts w:cs="Arial"/>
                <w:color w:val="000000"/>
                <w:szCs w:val="20"/>
              </w:rPr>
            </w:pPr>
            <w:r>
              <w:rPr>
                <w:rFonts w:cs="Arial"/>
                <w:color w:val="000000"/>
                <w:szCs w:val="20"/>
              </w:rPr>
            </w:r>
          </w:p>
        </w:tc>
        <w:tc>
          <w:tcPr>
            <w:tcW w:w="1418" w:type="dxa"/>
            <w:vMerge w:val="continue"/>
            <w:tcBorders>
              <w:left w:val="single" w:sz="6" w:space="0" w:color="00000A"/>
              <w:right w:val="single" w:sz="6" w:space="0" w:color="00000A"/>
              <w:insideV w:val="single" w:sz="6" w:space="0" w:color="00000A"/>
            </w:tcBorders>
            <w:shd w:fill="auto" w:val="clear"/>
            <w:tcMar>
              <w:left w:w="22" w:type="dxa"/>
            </w:tcMar>
          </w:tcPr>
          <w:p>
            <w:pPr>
              <w:pStyle w:val="Normal"/>
              <w:spacing w:lineRule="auto" w:line="276" w:before="0" w:after="20"/>
              <w:jc w:val="center"/>
              <w:rPr>
                <w:rFonts w:cs="Arial"/>
                <w:color w:val="000000"/>
                <w:szCs w:val="20"/>
              </w:rPr>
            </w:pPr>
            <w:r>
              <w:rPr>
                <w:rFonts w:cs="Arial"/>
                <w:color w:val="000000"/>
                <w:szCs w:val="20"/>
              </w:rPr>
            </w:r>
          </w:p>
        </w:tc>
      </w:tr>
      <w:tr>
        <w:trPr>
          <w:tblHeader w:val="true"/>
          <w:trHeight w:val="290" w:hRule="atLeast"/>
        </w:trPr>
        <w:tc>
          <w:tcPr>
            <w:tcW w:w="2493" w:type="dxa"/>
            <w:vMerge w:val="continue"/>
            <w:tcBorders>
              <w:top w:val="thinThickSmallGap" w:sz="12" w:space="0" w:color="00000A"/>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center"/>
          </w:tcPr>
          <w:p>
            <w:pPr>
              <w:pStyle w:val="Normal"/>
              <w:rPr>
                <w:rFonts w:cs="Arial"/>
                <w:color w:val="000000"/>
                <w:sz w:val="22"/>
                <w:szCs w:val="20"/>
              </w:rPr>
            </w:pPr>
            <w:r>
              <w:rPr>
                <w:rFonts w:cs="Arial"/>
                <w:color w:val="000000"/>
                <w:sz w:val="22"/>
                <w:szCs w:val="20"/>
              </w:rPr>
            </w:r>
          </w:p>
        </w:tc>
        <w:tc>
          <w:tcPr>
            <w:tcW w:w="1423" w:type="dxa"/>
            <w:vMerge w:val="continue"/>
            <w:tcBorders>
              <w:top w:val="single" w:sz="6" w:space="0" w:color="00000A"/>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center"/>
          </w:tcPr>
          <w:p>
            <w:pPr>
              <w:pStyle w:val="Normal"/>
              <w:rPr>
                <w:rFonts w:cs="Arial"/>
                <w:color w:val="000000"/>
                <w:sz w:val="22"/>
                <w:szCs w:val="20"/>
              </w:rPr>
            </w:pPr>
            <w:r>
              <w:rPr>
                <w:rFonts w:cs="Arial"/>
                <w:color w:val="000000"/>
                <w:sz w:val="22"/>
                <w:szCs w:val="20"/>
              </w:rPr>
            </w:r>
          </w:p>
        </w:tc>
        <w:tc>
          <w:tcPr>
            <w:tcW w:w="1076" w:type="dxa"/>
            <w:tcBorders>
              <w:top w:val="single" w:sz="4" w:space="0" w:color="000001"/>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center"/>
          </w:tcPr>
          <w:p>
            <w:pPr>
              <w:pStyle w:val="Normal"/>
              <w:spacing w:lineRule="auto" w:line="276" w:before="0" w:after="20"/>
              <w:jc w:val="center"/>
              <w:rPr>
                <w:rFonts w:cs="Arial"/>
                <w:color w:val="000000"/>
                <w:sz w:val="22"/>
                <w:szCs w:val="20"/>
              </w:rPr>
            </w:pPr>
            <w:r>
              <w:rPr>
                <w:rFonts w:cs="Arial"/>
                <w:color w:val="000000"/>
                <w:szCs w:val="20"/>
              </w:rPr>
              <w:t>городское</w:t>
            </w:r>
          </w:p>
        </w:tc>
        <w:tc>
          <w:tcPr>
            <w:tcW w:w="1426" w:type="dxa"/>
            <w:tcBorders>
              <w:top w:val="single" w:sz="4" w:space="0" w:color="000001"/>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center"/>
          </w:tcPr>
          <w:p>
            <w:pPr>
              <w:pStyle w:val="Normal"/>
              <w:spacing w:lineRule="auto" w:line="276" w:before="0" w:after="20"/>
              <w:jc w:val="center"/>
              <w:rPr>
                <w:rFonts w:cs="Arial"/>
                <w:color w:val="000000"/>
                <w:sz w:val="22"/>
                <w:szCs w:val="20"/>
              </w:rPr>
            </w:pPr>
            <w:r>
              <w:rPr>
                <w:rFonts w:cs="Arial"/>
                <w:color w:val="000000"/>
                <w:szCs w:val="20"/>
              </w:rPr>
              <w:t>сельское</w:t>
            </w:r>
          </w:p>
        </w:tc>
        <w:tc>
          <w:tcPr>
            <w:tcW w:w="1424" w:type="dxa"/>
            <w:vMerge w:val="continue"/>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rmal"/>
              <w:spacing w:lineRule="auto" w:line="276" w:before="0" w:after="20"/>
              <w:jc w:val="center"/>
              <w:rPr>
                <w:rFonts w:cs="Arial"/>
                <w:color w:val="000000"/>
                <w:szCs w:val="20"/>
              </w:rPr>
            </w:pPr>
            <w:r>
              <w:rPr>
                <w:rFonts w:cs="Arial"/>
                <w:color w:val="000000"/>
                <w:szCs w:val="20"/>
              </w:rPr>
            </w:r>
          </w:p>
        </w:tc>
        <w:tc>
          <w:tcPr>
            <w:tcW w:w="1418" w:type="dxa"/>
            <w:vMerge w:val="continue"/>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rmal"/>
              <w:spacing w:lineRule="auto" w:line="276" w:before="0" w:after="20"/>
              <w:jc w:val="center"/>
              <w:rPr>
                <w:rFonts w:cs="Arial"/>
                <w:color w:val="000000"/>
                <w:szCs w:val="20"/>
              </w:rPr>
            </w:pPr>
            <w:r>
              <w:rPr>
                <w:rFonts w:cs="Arial"/>
                <w:color w:val="000000"/>
                <w:szCs w:val="20"/>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Боханский район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24975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24975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3702</w:t>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i/>
                <w:i/>
              </w:rPr>
            </w:pPr>
            <w:r>
              <w:rPr>
                <w:i/>
              </w:rPr>
              <w:t xml:space="preserve">Сельские поселения </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24975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24975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 </w:t>
            </w:r>
            <w:r>
              <w:rPr>
                <w:b/>
                <w:sz w:val="24"/>
                <w:szCs w:val="24"/>
              </w:rPr>
              <w:t xml:space="preserve">МО «Александровское»,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1578</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1578</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53</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Александровское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1516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1516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Ключи</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34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34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4" w:space="0" w:color="00000A"/>
              <w:right w:val="single" w:sz="6" w:space="0" w:color="00000A"/>
              <w:insideV w:val="single" w:sz="6" w:space="0" w:color="00000A"/>
            </w:tcBorders>
            <w:shd w:fill="auto" w:val="clear"/>
            <w:tcMar>
              <w:left w:w="25" w:type="dxa"/>
            </w:tcMar>
            <w:vAlign w:val="bottom"/>
          </w:tcPr>
          <w:p>
            <w:pPr>
              <w:pStyle w:val="NoSpacing"/>
              <w:spacing w:lineRule="auto" w:line="276"/>
              <w:rPr/>
            </w:pPr>
            <w:r>
              <w:rPr/>
              <w:t>с. Усолье-Жилкино</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28</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4" w:space="0" w:color="00000A"/>
              <w:insideV w:val="single" w:sz="4" w:space="0" w:color="00000A"/>
            </w:tcBorders>
            <w:shd w:fill="auto" w:val="clear"/>
            <w:tcMar>
              <w:left w:w="22" w:type="dxa"/>
            </w:tcMar>
            <w:vAlign w:val="bottom"/>
          </w:tcPr>
          <w:p>
            <w:pPr>
              <w:pStyle w:val="NoSpacing"/>
              <w:spacing w:lineRule="auto" w:line="276"/>
              <w:jc w:val="center"/>
              <w:rPr/>
            </w:pPr>
            <w:r>
              <w:rPr/>
              <w:t>28</w:t>
            </w:r>
          </w:p>
        </w:tc>
        <w:tc>
          <w:tcPr>
            <w:tcW w:w="1424"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4" w:space="0" w:color="00000A"/>
              <w:right w:val="single" w:sz="6" w:space="0" w:color="00000A"/>
              <w:insideV w:val="single" w:sz="6" w:space="0" w:color="00000A"/>
            </w:tcBorders>
            <w:shd w:fill="auto" w:val="clear"/>
            <w:tcMar>
              <w:left w:w="25" w:type="dxa"/>
            </w:tcMar>
            <w:vAlign w:val="bottom"/>
          </w:tcPr>
          <w:p>
            <w:pPr>
              <w:pStyle w:val="NoSpacing"/>
              <w:spacing w:lineRule="auto" w:line="276"/>
              <w:rPr>
                <w:b/>
                <w:b/>
                <w:sz w:val="24"/>
                <w:szCs w:val="24"/>
              </w:rPr>
            </w:pPr>
            <w:r>
              <w:rPr>
                <w:b/>
                <w:sz w:val="24"/>
                <w:szCs w:val="24"/>
              </w:rPr>
              <w:t xml:space="preserve">МО «Буреть»,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1427</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4" w:space="0" w:color="00000A"/>
              <w:insideV w:val="single" w:sz="4"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1427</w:t>
            </w:r>
          </w:p>
        </w:tc>
        <w:tc>
          <w:tcPr>
            <w:tcW w:w="1424"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b/>
                <w:b/>
                <w:sz w:val="24"/>
                <w:szCs w:val="24"/>
              </w:rPr>
            </w:pPr>
            <w:r>
              <w:rPr>
                <w:b/>
                <w:sz w:val="24"/>
                <w:szCs w:val="24"/>
              </w:rPr>
              <w:t>30</w:t>
            </w:r>
          </w:p>
        </w:tc>
        <w:tc>
          <w:tcPr>
            <w:tcW w:w="1418"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Буреть</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1042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1042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Быргазова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165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165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Грязная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Шарагун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69</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69</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«Казачье»,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1584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1584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43</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Казачье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1087</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1087</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Байханова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Ершова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Крюкова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Логанова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186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186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Тымырей</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Черниговская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57</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57</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«Каменка»,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1484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1484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34</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Каменка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822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822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Вантеевская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rPr/>
            </w:pPr>
            <w:r>
              <w:rPr/>
              <w:t>з. Гречехан</w:t>
            </w:r>
          </w:p>
        </w:tc>
        <w:tc>
          <w:tcPr>
            <w:tcW w:w="1423"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jc w:val="center"/>
              <w:rPr/>
            </w:pPr>
            <w:r>
              <w:rPr/>
              <w:t>104</w:t>
            </w:r>
          </w:p>
        </w:tc>
        <w:tc>
          <w:tcPr>
            <w:tcW w:w="1076"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jc w:val="center"/>
              <w:rPr/>
            </w:pPr>
            <w:r>
              <w:rPr/>
              <w:t>104</w:t>
            </w:r>
          </w:p>
        </w:tc>
        <w:tc>
          <w:tcPr>
            <w:tcW w:w="1424"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Калашникова</w:t>
            </w:r>
          </w:p>
        </w:tc>
        <w:tc>
          <w:tcPr>
            <w:tcW w:w="1423"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100</w:t>
            </w:r>
          </w:p>
        </w:tc>
        <w:tc>
          <w:tcPr>
            <w:tcW w:w="1076"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100</w:t>
            </w:r>
          </w:p>
        </w:tc>
        <w:tc>
          <w:tcPr>
            <w:tcW w:w="1424" w:type="dxa"/>
            <w:tcBorders>
              <w:top w:val="thinThickSmallGap" w:sz="12" w:space="0" w:color="00000A"/>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top w:val="thinThickSmallGap" w:sz="12" w:space="0" w:color="00000A"/>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Макаровская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Махонькина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Морозова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280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280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Пашкова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Склянка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Тыргур</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Угольная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90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90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«Новая Ида»,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1689</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1689</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8</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Новая Ида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204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204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lang w:val="en-US"/>
              </w:rPr>
            </w:pPr>
            <w:r>
              <w:rPr>
                <w:lang w:val="en-US"/>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lang w:val="en-US"/>
              </w:rPr>
            </w:pPr>
            <w:r>
              <w:rPr>
                <w:lang w:val="en-US"/>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Булак</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Гречехан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119</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119</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Заглик</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266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266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Усть-Тараса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738</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738</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Хандагай</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240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240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«Олонки»,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2879</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2879</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30</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Олонки</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2272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2272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Воробьевка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211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211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Грехневка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167</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167</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Захаровская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Шипняговка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96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96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«Середкино»,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1171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1171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69</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Середкина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820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820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4" w:space="0" w:color="00000A"/>
              <w:right w:val="single" w:sz="6" w:space="0" w:color="00000A"/>
              <w:insideV w:val="single" w:sz="6" w:space="0" w:color="00000A"/>
            </w:tcBorders>
            <w:shd w:fill="auto" w:val="clear"/>
            <w:tcMar>
              <w:left w:w="25" w:type="dxa"/>
            </w:tcMar>
            <w:vAlign w:val="bottom"/>
          </w:tcPr>
          <w:p>
            <w:pPr>
              <w:pStyle w:val="NoSpacing"/>
              <w:spacing w:lineRule="auto" w:line="276"/>
              <w:rPr/>
            </w:pPr>
            <w:r>
              <w:rPr/>
              <w:t>д. Донская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4" w:space="0" w:color="00000A"/>
              <w:insideV w:val="single" w:sz="4" w:space="0" w:color="00000A"/>
            </w:tcBorders>
            <w:shd w:fill="auto" w:val="clear"/>
            <w:tcMar>
              <w:left w:w="22" w:type="dxa"/>
            </w:tcMar>
            <w:vAlign w:val="bottom"/>
          </w:tcPr>
          <w:p>
            <w:pPr>
              <w:pStyle w:val="NoSpacing"/>
              <w:spacing w:lineRule="auto" w:line="276"/>
              <w:jc w:val="center"/>
              <w:rPr/>
            </w:pPr>
            <w:r>
              <w:rPr/>
              <w:t>122</w:t>
            </w:r>
          </w:p>
        </w:tc>
        <w:tc>
          <w:tcPr>
            <w:tcW w:w="1424"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4" w:space="0" w:color="00000A"/>
              <w:right w:val="single" w:sz="6" w:space="0" w:color="00000A"/>
              <w:insideV w:val="single" w:sz="6" w:space="0" w:color="00000A"/>
            </w:tcBorders>
            <w:shd w:fill="auto" w:val="clear"/>
            <w:tcMar>
              <w:left w:w="25" w:type="dxa"/>
            </w:tcMar>
            <w:vAlign w:val="bottom"/>
          </w:tcPr>
          <w:p>
            <w:pPr>
              <w:pStyle w:val="NoSpacing"/>
              <w:spacing w:lineRule="auto" w:line="276"/>
              <w:rPr/>
            </w:pPr>
            <w:r>
              <w:rPr/>
              <w:t>д. Картыгей</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81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4" w:space="0" w:color="00000A"/>
              <w:insideV w:val="single" w:sz="4" w:space="0" w:color="00000A"/>
            </w:tcBorders>
            <w:shd w:fill="auto" w:val="clear"/>
            <w:tcMar>
              <w:left w:w="22" w:type="dxa"/>
            </w:tcMar>
            <w:vAlign w:val="bottom"/>
          </w:tcPr>
          <w:p>
            <w:pPr>
              <w:pStyle w:val="NoSpacing"/>
              <w:spacing w:lineRule="auto" w:line="276"/>
              <w:jc w:val="center"/>
              <w:rPr/>
            </w:pPr>
            <w:r>
              <w:rPr/>
              <w:t>81</w:t>
            </w:r>
          </w:p>
        </w:tc>
        <w:tc>
          <w:tcPr>
            <w:tcW w:w="1424"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Мутинова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148</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148</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МО «Тараса»,</w:t>
            </w:r>
            <w:r>
              <w:rPr>
                <w:sz w:val="24"/>
                <w:szCs w:val="24"/>
              </w:rPr>
              <w:t xml:space="preserve"> 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1662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1662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10</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Тараса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1225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1225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Буреть</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п. Заведение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Кулакова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Новый Алендарь</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«Тихоновка»,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1542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1542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37</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Тихоновка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1454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1454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Парамоновка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17</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17</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Чилим</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«Укыр»,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1330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1330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28</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Укыр</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556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556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Лаврентьевская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Манькова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215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215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Петрограновка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186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186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Тачигир</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62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w:t>
            </w:r>
          </w:p>
        </w:tc>
        <w:tc>
          <w:tcPr>
            <w:tcW w:w="1426" w:type="dxa"/>
            <w:tcBorders>
              <w:left w:val="single" w:sz="6" w:space="0" w:color="00000A"/>
              <w:right w:val="single" w:sz="4" w:space="0" w:color="00000A"/>
              <w:insideV w:val="single" w:sz="4" w:space="0" w:color="00000A"/>
            </w:tcBorders>
            <w:shd w:fill="auto" w:val="clear"/>
            <w:tcMar>
              <w:left w:w="22" w:type="dxa"/>
            </w:tcMar>
            <w:vAlign w:val="bottom"/>
          </w:tcPr>
          <w:p>
            <w:pPr>
              <w:pStyle w:val="NoSpacing"/>
              <w:spacing w:lineRule="auto" w:line="276"/>
              <w:jc w:val="center"/>
              <w:rPr/>
            </w:pPr>
            <w:r>
              <w:rPr/>
              <w:t>62</w:t>
            </w:r>
          </w:p>
        </w:tc>
        <w:tc>
          <w:tcPr>
            <w:tcW w:w="1424"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rPr/>
            </w:pPr>
            <w:r>
              <w:rPr/>
              <w:t>д. Усть-Укыр</w:t>
            </w:r>
          </w:p>
        </w:tc>
        <w:tc>
          <w:tcPr>
            <w:tcW w:w="1423"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jc w:val="center"/>
              <w:rPr/>
            </w:pPr>
            <w:r>
              <w:rPr/>
              <w:t>56</w:t>
            </w:r>
          </w:p>
        </w:tc>
        <w:tc>
          <w:tcPr>
            <w:tcW w:w="1076"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jc w:val="center"/>
              <w:rPr/>
            </w:pPr>
            <w:r>
              <w:rPr/>
              <w:t>56</w:t>
            </w:r>
          </w:p>
        </w:tc>
        <w:tc>
          <w:tcPr>
            <w:tcW w:w="1424"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Хоргелок</w:t>
            </w:r>
          </w:p>
        </w:tc>
        <w:tc>
          <w:tcPr>
            <w:tcW w:w="1423"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179</w:t>
            </w:r>
          </w:p>
        </w:tc>
        <w:tc>
          <w:tcPr>
            <w:tcW w:w="1076"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179</w:t>
            </w:r>
          </w:p>
        </w:tc>
        <w:tc>
          <w:tcPr>
            <w:tcW w:w="1424" w:type="dxa"/>
            <w:tcBorders>
              <w:top w:val="thinThickSmallGap" w:sz="12" w:space="0" w:color="00000A"/>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top w:val="thinThickSmallGap" w:sz="12" w:space="0" w:color="00000A"/>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«Хохорск»,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2154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2154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14</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Хохорск</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493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493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Ижилха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406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406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Нововоскресенка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Русиновка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253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253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Харатирген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556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556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Херетин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Шунта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213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213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«Шаралдай»,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1349</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1349</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43</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Дундай</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581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581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Базой</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Вершина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332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332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п. Веселая Поляна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Граничная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п. Ида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27</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27</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Нашата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162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162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Харагун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174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174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Хонзой</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48</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48</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МО «Бохан»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5126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5126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bl>
    <w:p>
      <w:pPr>
        <w:pStyle w:val="Normal"/>
        <w:ind w:firstLine="708"/>
        <w:jc w:val="both"/>
        <w:rPr/>
      </w:pPr>
      <w:r>
        <w:rPr/>
      </w:r>
    </w:p>
    <w:p>
      <w:pPr>
        <w:pStyle w:val="Normal"/>
        <w:jc w:val="both"/>
        <w:rPr>
          <w:b/>
          <w:b/>
          <w:i/>
          <w:i/>
        </w:rPr>
      </w:pPr>
      <w:r>
        <w:rPr>
          <w:b/>
          <w:i/>
        </w:rPr>
      </w:r>
    </w:p>
    <w:p>
      <w:pPr>
        <w:pStyle w:val="Normal"/>
        <w:jc w:val="both"/>
        <w:rPr>
          <w:b/>
          <w:b/>
          <w:i/>
          <w:i/>
        </w:rPr>
      </w:pPr>
      <w:r>
        <w:rPr>
          <w:b/>
          <w:i/>
        </w:rPr>
      </w:r>
    </w:p>
    <w:p>
      <w:pPr>
        <w:pStyle w:val="Normal"/>
        <w:jc w:val="both"/>
        <w:rPr>
          <w:b/>
          <w:b/>
          <w:i/>
          <w:i/>
        </w:rPr>
      </w:pPr>
      <w:r>
        <w:rPr>
          <w:b/>
          <w:i/>
        </w:rPr>
      </w:r>
    </w:p>
    <w:p>
      <w:pPr>
        <w:pStyle w:val="Normal"/>
        <w:jc w:val="both"/>
        <w:rPr>
          <w:b/>
          <w:b/>
          <w:i/>
          <w:i/>
        </w:rPr>
      </w:pPr>
      <w:r>
        <w:rPr>
          <w:b/>
          <w:i/>
        </w:rPr>
        <w:t>Глава 1.3.Социально-демографический состав и плотность населения.</w:t>
      </w:r>
    </w:p>
    <w:tbl>
      <w:tblPr>
        <w:tblW w:w="10456"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593"/>
        <w:gridCol w:w="2824"/>
        <w:gridCol w:w="1457"/>
        <w:gridCol w:w="1460"/>
        <w:gridCol w:w="1459"/>
        <w:gridCol w:w="1460"/>
        <w:gridCol w:w="1202"/>
      </w:tblGrid>
      <w:tr>
        <w:trPr/>
        <w:tc>
          <w:tcPr>
            <w:tcW w:w="59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 xml:space="preserve">№ </w:t>
            </w:r>
            <w:r>
              <w:rPr/>
              <w:t>п/п</w:t>
            </w:r>
          </w:p>
        </w:tc>
        <w:tc>
          <w:tcPr>
            <w:tcW w:w="282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Показатели</w:t>
            </w:r>
          </w:p>
        </w:tc>
        <w:tc>
          <w:tcPr>
            <w:tcW w:w="7038"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По годам</w:t>
            </w:r>
          </w:p>
        </w:tc>
      </w:tr>
      <w:tr>
        <w:trPr>
          <w:trHeight w:val="373" w:hRule="atLeast"/>
        </w:trPr>
        <w:tc>
          <w:tcPr>
            <w:tcW w:w="5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lang w:eastAsia="en-US"/>
              </w:rPr>
            </w:pPr>
            <w:r>
              <w:rPr>
                <w:lang w:eastAsia="en-US"/>
              </w:rPr>
            </w:r>
          </w:p>
        </w:tc>
        <w:tc>
          <w:tcPr>
            <w:tcW w:w="282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lang w:eastAsia="en-US"/>
              </w:rPr>
            </w:pPr>
            <w:r>
              <w:rPr>
                <w:lang w:eastAsia="en-US"/>
              </w:rPr>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2011</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2012</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2013</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2014</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2015</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1</w:t>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Численность населения, всего</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25,40</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25,23</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25,24</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24,94</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24,98</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lang w:eastAsia="en-US"/>
              </w:rPr>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в том числе:</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lang w:eastAsia="en-US"/>
              </w:rPr>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lang w:eastAsia="en-US"/>
              </w:rPr>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lang w:eastAsia="en-US"/>
              </w:rPr>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lang w:eastAsia="en-US"/>
              </w:rPr>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lang w:eastAsia="en-US"/>
              </w:rPr>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lang w:eastAsia="en-US"/>
              </w:rPr>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мужчин</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11,98</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11,99</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11,93</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11,84</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11,90</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lang w:eastAsia="en-US"/>
              </w:rPr>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женщин</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13,42</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13,24</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13,31</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13,10</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13,08</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2</w:t>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Трудоспособное население</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15,9</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14,43</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14,36</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13,87</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14,12</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3</w:t>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Моложе трудоспособного</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6,4</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6,51</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6,59</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6,62</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6,47</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4</w:t>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Старше трудоспособного</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3,10</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4,29</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4,29</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4,45</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4,39</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5</w:t>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Занятые в экономике</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8,1</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7,9</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7,5</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7,1</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7,4</w:t>
            </w:r>
          </w:p>
        </w:tc>
      </w:tr>
    </w:tbl>
    <w:p>
      <w:pPr>
        <w:pStyle w:val="Normal"/>
        <w:jc w:val="both"/>
        <w:rPr>
          <w:lang w:eastAsia="en-US"/>
        </w:rPr>
      </w:pPr>
      <w:r>
        <w:rPr>
          <w:lang w:eastAsia="en-US"/>
        </w:rPr>
      </w:r>
    </w:p>
    <w:p>
      <w:pPr>
        <w:pStyle w:val="Normal"/>
        <w:jc w:val="both"/>
        <w:rPr/>
      </w:pPr>
      <w:r>
        <w:rPr/>
        <w:t>Плотность населения района на 1 га площади составляет 14,8 человек.</w:t>
      </w:r>
    </w:p>
    <w:p>
      <w:pPr>
        <w:pStyle w:val="Normal"/>
        <w:jc w:val="both"/>
        <w:rPr/>
      </w:pPr>
      <w:r>
        <w:rPr/>
      </w:r>
    </w:p>
    <w:p>
      <w:pPr>
        <w:pStyle w:val="Normal"/>
        <w:numPr>
          <w:ilvl w:val="0"/>
          <w:numId w:val="0"/>
        </w:numPr>
        <w:tabs>
          <w:tab w:val="left" w:pos="3544" w:leader="none"/>
        </w:tabs>
        <w:ind w:firstLine="540"/>
        <w:jc w:val="center"/>
        <w:outlineLvl w:val="1"/>
        <w:rPr>
          <w:b/>
          <w:b/>
        </w:rPr>
      </w:pPr>
      <w:r>
        <w:rPr>
          <w:b/>
        </w:rPr>
        <w:t>Динамика численности населения*</w:t>
      </w:r>
    </w:p>
    <w:tbl>
      <w:tblPr>
        <w:tblW w:w="10095" w:type="dxa"/>
        <w:jc w:val="left"/>
        <w:tblInd w:w="0" w:type="dxa"/>
        <w:tblBorders>
          <w:top w:val="single" w:sz="6" w:space="0" w:color="00000A"/>
          <w:left w:val="single" w:sz="6" w:space="0" w:color="00000A"/>
          <w:right w:val="single" w:sz="6" w:space="0" w:color="00000A"/>
          <w:insideV w:val="single" w:sz="6" w:space="0" w:color="00000A"/>
        </w:tblBorders>
        <w:tblCellMar>
          <w:top w:w="0" w:type="dxa"/>
          <w:left w:w="22" w:type="dxa"/>
          <w:bottom w:w="0" w:type="dxa"/>
          <w:right w:w="30" w:type="dxa"/>
        </w:tblCellMar>
        <w:tblLook w:val="0000"/>
      </w:tblPr>
      <w:tblGrid>
        <w:gridCol w:w="2723"/>
        <w:gridCol w:w="1275"/>
        <w:gridCol w:w="1276"/>
        <w:gridCol w:w="851"/>
        <w:gridCol w:w="708"/>
        <w:gridCol w:w="709"/>
        <w:gridCol w:w="851"/>
        <w:gridCol w:w="850"/>
        <w:gridCol w:w="851"/>
      </w:tblGrid>
      <w:tr>
        <w:trPr>
          <w:trHeight w:val="247" w:hRule="atLeast"/>
        </w:trPr>
        <w:tc>
          <w:tcPr>
            <w:tcW w:w="2723" w:type="dxa"/>
            <w:tcBorders>
              <w:top w:val="single" w:sz="6" w:space="0" w:color="00000A"/>
              <w:left w:val="single" w:sz="6" w:space="0" w:color="00000A"/>
              <w:right w:val="single" w:sz="6" w:space="0" w:color="00000A"/>
              <w:insideV w:val="single" w:sz="6" w:space="0" w:color="00000A"/>
            </w:tcBorders>
            <w:shd w:fill="auto" w:val="clear"/>
            <w:tcMar>
              <w:left w:w="22" w:type="dxa"/>
            </w:tcMar>
          </w:tcPr>
          <w:p>
            <w:pPr>
              <w:pStyle w:val="Normal"/>
              <w:rPr>
                <w:rFonts w:ascii="Arial" w:hAnsi="Arial" w:cs="Arial"/>
                <w:color w:val="000000"/>
                <w:sz w:val="20"/>
                <w:szCs w:val="20"/>
              </w:rPr>
            </w:pPr>
            <w:r>
              <w:rPr>
                <w:rFonts w:cs="Arial" w:ascii="Arial" w:hAnsi="Arial"/>
                <w:color w:val="000000"/>
                <w:sz w:val="20"/>
                <w:szCs w:val="20"/>
              </w:rPr>
              <w:t>Численность населения</w:t>
            </w:r>
          </w:p>
        </w:tc>
        <w:tc>
          <w:tcPr>
            <w:tcW w:w="1275" w:type="dxa"/>
            <w:tcBorders>
              <w:top w:val="single" w:sz="6" w:space="0" w:color="00000A"/>
              <w:left w:val="single" w:sz="6" w:space="0" w:color="00000A"/>
              <w:right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01.01.2009</w:t>
            </w:r>
          </w:p>
        </w:tc>
        <w:tc>
          <w:tcPr>
            <w:tcW w:w="1276" w:type="dxa"/>
            <w:tcBorders>
              <w:top w:val="single" w:sz="6" w:space="0" w:color="00000A"/>
              <w:left w:val="single" w:sz="6" w:space="0" w:color="00000A"/>
              <w:right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01.01.2010</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2011</w:t>
            </w:r>
          </w:p>
        </w:tc>
        <w:tc>
          <w:tcPr>
            <w:tcW w:w="70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2012</w:t>
            </w:r>
          </w:p>
        </w:tc>
        <w:tc>
          <w:tcPr>
            <w:tcW w:w="70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2013</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2014</w:t>
            </w:r>
          </w:p>
        </w:tc>
        <w:tc>
          <w:tcPr>
            <w:tcW w:w="85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2015</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2016</w:t>
            </w:r>
          </w:p>
        </w:tc>
      </w:tr>
      <w:tr>
        <w:trPr>
          <w:trHeight w:val="247" w:hRule="atLeast"/>
        </w:trPr>
        <w:tc>
          <w:tcPr>
            <w:tcW w:w="272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r>
          </w:p>
        </w:tc>
        <w:tc>
          <w:tcPr>
            <w:tcW w:w="127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27029</w:t>
            </w:r>
          </w:p>
        </w:tc>
        <w:tc>
          <w:tcPr>
            <w:tcW w:w="1276"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27084</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25412</w:t>
            </w:r>
          </w:p>
        </w:tc>
        <w:tc>
          <w:tcPr>
            <w:tcW w:w="70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25232</w:t>
            </w:r>
          </w:p>
        </w:tc>
        <w:tc>
          <w:tcPr>
            <w:tcW w:w="70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25244</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25043</w:t>
            </w:r>
          </w:p>
        </w:tc>
        <w:tc>
          <w:tcPr>
            <w:tcW w:w="85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24975</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24943</w:t>
            </w:r>
          </w:p>
        </w:tc>
      </w:tr>
      <w:tr>
        <w:trPr>
          <w:trHeight w:val="247" w:hRule="atLeast"/>
        </w:trPr>
        <w:tc>
          <w:tcPr>
            <w:tcW w:w="272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sz w:val="20"/>
                <w:szCs w:val="20"/>
              </w:rPr>
            </w:pPr>
            <w:r>
              <w:rPr>
                <w:rFonts w:cs="Arial" w:ascii="Arial" w:hAnsi="Arial"/>
                <w:color w:val="000000"/>
                <w:sz w:val="20"/>
                <w:szCs w:val="20"/>
              </w:rPr>
              <w:t>Родилось</w:t>
            </w:r>
          </w:p>
        </w:tc>
        <w:tc>
          <w:tcPr>
            <w:tcW w:w="127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532</w:t>
            </w:r>
          </w:p>
        </w:tc>
        <w:tc>
          <w:tcPr>
            <w:tcW w:w="1276"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552</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471</w:t>
            </w:r>
          </w:p>
        </w:tc>
        <w:tc>
          <w:tcPr>
            <w:tcW w:w="70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425</w:t>
            </w:r>
          </w:p>
        </w:tc>
        <w:tc>
          <w:tcPr>
            <w:tcW w:w="70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475</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475</w:t>
            </w:r>
          </w:p>
        </w:tc>
        <w:tc>
          <w:tcPr>
            <w:tcW w:w="85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457</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402</w:t>
            </w:r>
          </w:p>
        </w:tc>
      </w:tr>
      <w:tr>
        <w:trPr>
          <w:trHeight w:val="247" w:hRule="atLeast"/>
        </w:trPr>
        <w:tc>
          <w:tcPr>
            <w:tcW w:w="272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sz w:val="20"/>
                <w:szCs w:val="20"/>
              </w:rPr>
            </w:pPr>
            <w:r>
              <w:rPr>
                <w:rFonts w:cs="Arial" w:ascii="Arial" w:hAnsi="Arial"/>
                <w:color w:val="000000"/>
                <w:sz w:val="20"/>
                <w:szCs w:val="20"/>
              </w:rPr>
              <w:t>Умерло</w:t>
            </w:r>
          </w:p>
        </w:tc>
        <w:tc>
          <w:tcPr>
            <w:tcW w:w="127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354</w:t>
            </w:r>
          </w:p>
        </w:tc>
        <w:tc>
          <w:tcPr>
            <w:tcW w:w="1276"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340</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378</w:t>
            </w:r>
          </w:p>
        </w:tc>
        <w:tc>
          <w:tcPr>
            <w:tcW w:w="70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343</w:t>
            </w:r>
          </w:p>
        </w:tc>
        <w:tc>
          <w:tcPr>
            <w:tcW w:w="70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326</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320</w:t>
            </w:r>
          </w:p>
        </w:tc>
        <w:tc>
          <w:tcPr>
            <w:tcW w:w="85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320</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313</w:t>
            </w:r>
          </w:p>
        </w:tc>
      </w:tr>
      <w:tr>
        <w:trPr>
          <w:trHeight w:val="247" w:hRule="atLeast"/>
        </w:trPr>
        <w:tc>
          <w:tcPr>
            <w:tcW w:w="272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sz w:val="20"/>
                <w:szCs w:val="20"/>
              </w:rPr>
            </w:pPr>
            <w:r>
              <w:rPr>
                <w:rFonts w:cs="Arial" w:ascii="Arial" w:hAnsi="Arial"/>
                <w:color w:val="000000"/>
                <w:sz w:val="20"/>
                <w:szCs w:val="20"/>
              </w:rPr>
              <w:t>Прирост</w:t>
            </w:r>
          </w:p>
        </w:tc>
        <w:tc>
          <w:tcPr>
            <w:tcW w:w="127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187</w:t>
            </w:r>
          </w:p>
        </w:tc>
        <w:tc>
          <w:tcPr>
            <w:tcW w:w="1276"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212</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93</w:t>
            </w:r>
          </w:p>
        </w:tc>
        <w:tc>
          <w:tcPr>
            <w:tcW w:w="70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82</w:t>
            </w:r>
          </w:p>
        </w:tc>
        <w:tc>
          <w:tcPr>
            <w:tcW w:w="70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149</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195</w:t>
            </w:r>
          </w:p>
        </w:tc>
        <w:tc>
          <w:tcPr>
            <w:tcW w:w="85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137</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89</w:t>
            </w:r>
          </w:p>
        </w:tc>
      </w:tr>
      <w:tr>
        <w:trPr>
          <w:trHeight w:val="247" w:hRule="atLeast"/>
        </w:trPr>
        <w:tc>
          <w:tcPr>
            <w:tcW w:w="272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sz w:val="20"/>
                <w:szCs w:val="20"/>
              </w:rPr>
            </w:pPr>
            <w:r>
              <w:rPr>
                <w:rFonts w:cs="Arial" w:ascii="Arial" w:hAnsi="Arial"/>
                <w:color w:val="000000"/>
                <w:sz w:val="20"/>
                <w:szCs w:val="20"/>
              </w:rPr>
              <w:t>Прирост на 1000</w:t>
            </w:r>
          </w:p>
        </w:tc>
        <w:tc>
          <w:tcPr>
            <w:tcW w:w="127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6,9</w:t>
            </w:r>
          </w:p>
        </w:tc>
        <w:tc>
          <w:tcPr>
            <w:tcW w:w="1276"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8</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3,6</w:t>
            </w:r>
          </w:p>
        </w:tc>
        <w:tc>
          <w:tcPr>
            <w:tcW w:w="70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3,2</w:t>
            </w:r>
          </w:p>
        </w:tc>
        <w:tc>
          <w:tcPr>
            <w:tcW w:w="70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5,9</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5,1</w:t>
            </w:r>
          </w:p>
        </w:tc>
        <w:tc>
          <w:tcPr>
            <w:tcW w:w="85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5,2</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3,6</w:t>
            </w:r>
          </w:p>
        </w:tc>
      </w:tr>
    </w:tbl>
    <w:p>
      <w:pPr>
        <w:pStyle w:val="Normal"/>
        <w:tabs>
          <w:tab w:val="left" w:pos="3544" w:leader="none"/>
        </w:tabs>
        <w:rPr>
          <w:color w:val="000000"/>
          <w:sz w:val="20"/>
          <w:szCs w:val="20"/>
        </w:rPr>
      </w:pPr>
      <w:r>
        <w:rPr>
          <w:color w:val="000000"/>
          <w:sz w:val="20"/>
          <w:szCs w:val="20"/>
        </w:rPr>
        <w:t>* численность населения по состоянию на 01.01 каждого года</w:t>
      </w:r>
    </w:p>
    <w:p>
      <w:pPr>
        <w:pStyle w:val="Normal"/>
        <w:tabs>
          <w:tab w:val="left" w:pos="3544" w:leader="none"/>
        </w:tabs>
        <w:rPr>
          <w:color w:val="000000"/>
          <w:sz w:val="20"/>
          <w:szCs w:val="20"/>
        </w:rPr>
      </w:pPr>
      <w:r>
        <w:rPr>
          <w:color w:val="000000"/>
          <w:sz w:val="20"/>
          <w:szCs w:val="20"/>
        </w:rPr>
      </w:r>
    </w:p>
    <w:tbl>
      <w:tblPr>
        <w:tblW w:w="11045" w:type="dxa"/>
        <w:jc w:val="left"/>
        <w:tblInd w:w="0" w:type="dxa"/>
        <w:tblBorders/>
        <w:tblCellMar>
          <w:top w:w="0" w:type="dxa"/>
          <w:left w:w="30" w:type="dxa"/>
          <w:bottom w:w="0" w:type="dxa"/>
          <w:right w:w="30" w:type="dxa"/>
        </w:tblCellMar>
        <w:tblLook w:val="0000"/>
      </w:tblPr>
      <w:tblGrid>
        <w:gridCol w:w="2901"/>
        <w:gridCol w:w="2080"/>
        <w:gridCol w:w="1010"/>
        <w:gridCol w:w="1011"/>
        <w:gridCol w:w="1011"/>
        <w:gridCol w:w="1010"/>
        <w:gridCol w:w="1011"/>
        <w:gridCol w:w="1009"/>
      </w:tblGrid>
      <w:tr>
        <w:trPr>
          <w:trHeight w:val="305" w:hRule="atLeast"/>
        </w:trPr>
        <w:tc>
          <w:tcPr>
            <w:tcW w:w="9023" w:type="dxa"/>
            <w:gridSpan w:val="6"/>
            <w:tcBorders/>
            <w:shd w:fill="auto" w:val="clear"/>
          </w:tcPr>
          <w:p>
            <w:pPr>
              <w:pStyle w:val="Normal"/>
              <w:rPr>
                <w:color w:val="000000"/>
              </w:rPr>
            </w:pPr>
            <w:r>
              <w:rPr>
                <w:color w:val="000000"/>
              </w:rPr>
              <w:t>Национальный состав района выглядит следующим образом ( всего населения 25398 чел.):</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47" w:hRule="atLeast"/>
        </w:trPr>
        <w:tc>
          <w:tcPr>
            <w:tcW w:w="290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208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305"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color w:val="000000"/>
              </w:rPr>
            </w:pPr>
            <w:r>
              <w:rPr>
                <w:color w:val="000000"/>
              </w:rPr>
              <w:t>Национальности</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Численность, чел.</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Русские</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17996</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70,9</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Буряты</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5434</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21,4</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Татары</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836</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3,2</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Украинцы</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238</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0,9</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Поляки</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306</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1,2</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Белорусы</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79</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0,3</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Чуваши</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47</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0,2</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Прочие национальности</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462</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1,8</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47" w:hRule="atLeast"/>
        </w:trPr>
        <w:tc>
          <w:tcPr>
            <w:tcW w:w="290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208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47" w:hRule="atLeast"/>
        </w:trPr>
        <w:tc>
          <w:tcPr>
            <w:tcW w:w="290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208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bl>
    <w:p>
      <w:pPr>
        <w:pStyle w:val="Normal"/>
        <w:tabs>
          <w:tab w:val="left" w:pos="3544" w:leader="none"/>
        </w:tabs>
        <w:rPr>
          <w:color w:val="000000"/>
          <w:sz w:val="20"/>
          <w:szCs w:val="20"/>
        </w:rPr>
      </w:pPr>
      <w:r>
        <w:rPr>
          <w:color w:val="000000"/>
          <w:sz w:val="20"/>
          <w:szCs w:val="20"/>
        </w:rPr>
      </w:r>
    </w:p>
    <w:p>
      <w:pPr>
        <w:pStyle w:val="Normal"/>
        <w:ind w:firstLine="708"/>
        <w:jc w:val="both"/>
        <w:rPr/>
      </w:pPr>
      <w:r>
        <w:rPr/>
      </w:r>
    </w:p>
    <w:p>
      <w:pPr>
        <w:pStyle w:val="Normal"/>
        <w:jc w:val="both"/>
        <w:rPr>
          <w:b/>
          <w:b/>
          <w:i/>
          <w:i/>
        </w:rPr>
      </w:pPr>
      <w:r>
        <w:rPr>
          <w:b/>
          <w:i/>
        </w:rPr>
        <w:t>Глава 1.3.1. Дифференциация населенных пунктов муниципального образования "Боханский район" Иркутской области.</w:t>
      </w:r>
    </w:p>
    <w:p>
      <w:pPr>
        <w:pStyle w:val="Normal"/>
        <w:jc w:val="both"/>
        <w:rPr/>
      </w:pPr>
      <w:r>
        <w:rPr/>
        <w:tab/>
        <w:t>В состав муниципального образования "Боханский район" входят 13 сельских поселений,  на территории которых расположено 72 населенных пункта.</w:t>
      </w:r>
    </w:p>
    <w:p>
      <w:pPr>
        <w:pStyle w:val="Normal"/>
        <w:numPr>
          <w:ilvl w:val="0"/>
          <w:numId w:val="5"/>
        </w:numPr>
        <w:jc w:val="both"/>
        <w:rPr/>
      </w:pPr>
      <w:r>
        <w:rPr/>
        <w:t>МО «Александровкое» (с. Александровское)</w:t>
      </w:r>
    </w:p>
    <w:p>
      <w:pPr>
        <w:pStyle w:val="Normal"/>
        <w:numPr>
          <w:ilvl w:val="0"/>
          <w:numId w:val="5"/>
        </w:numPr>
        <w:jc w:val="both"/>
        <w:rPr/>
      </w:pPr>
      <w:r>
        <w:rPr/>
        <w:t>МО «Бохан» (п.Бохан)</w:t>
      </w:r>
    </w:p>
    <w:p>
      <w:pPr>
        <w:pStyle w:val="Normal"/>
        <w:numPr>
          <w:ilvl w:val="0"/>
          <w:numId w:val="5"/>
        </w:numPr>
        <w:jc w:val="both"/>
        <w:rPr/>
      </w:pPr>
      <w:r>
        <w:rPr/>
        <w:t>МО «Буреть» (с.Буреть)</w:t>
      </w:r>
    </w:p>
    <w:p>
      <w:pPr>
        <w:pStyle w:val="Normal"/>
        <w:numPr>
          <w:ilvl w:val="0"/>
          <w:numId w:val="5"/>
        </w:numPr>
        <w:jc w:val="both"/>
        <w:rPr/>
      </w:pPr>
      <w:r>
        <w:rPr/>
        <w:t>МО «Казачье» (с. Казачье)</w:t>
      </w:r>
    </w:p>
    <w:p>
      <w:pPr>
        <w:pStyle w:val="Normal"/>
        <w:numPr>
          <w:ilvl w:val="0"/>
          <w:numId w:val="5"/>
        </w:numPr>
        <w:jc w:val="both"/>
        <w:rPr/>
      </w:pPr>
      <w:r>
        <w:rPr/>
        <w:t>МО «Каменка» (с. Каменка)</w:t>
      </w:r>
    </w:p>
    <w:p>
      <w:pPr>
        <w:pStyle w:val="Normal"/>
        <w:numPr>
          <w:ilvl w:val="0"/>
          <w:numId w:val="5"/>
        </w:numPr>
        <w:jc w:val="both"/>
        <w:rPr/>
      </w:pPr>
      <w:r>
        <w:rPr/>
        <w:t>МО «Новая – Ида»  (с. Новая – Ида)</w:t>
      </w:r>
    </w:p>
    <w:p>
      <w:pPr>
        <w:pStyle w:val="Normal"/>
        <w:numPr>
          <w:ilvl w:val="0"/>
          <w:numId w:val="5"/>
        </w:numPr>
        <w:jc w:val="both"/>
        <w:rPr/>
      </w:pPr>
      <w:r>
        <w:rPr/>
        <w:t xml:space="preserve">МО «Олонки» (с. Олонки) </w:t>
      </w:r>
    </w:p>
    <w:p>
      <w:pPr>
        <w:pStyle w:val="Normal"/>
        <w:numPr>
          <w:ilvl w:val="0"/>
          <w:numId w:val="5"/>
        </w:numPr>
        <w:jc w:val="both"/>
        <w:rPr/>
      </w:pPr>
      <w:r>
        <w:rPr/>
        <w:t>МО «Середкино» (с. Середкино)</w:t>
      </w:r>
    </w:p>
    <w:p>
      <w:pPr>
        <w:pStyle w:val="Normal"/>
        <w:numPr>
          <w:ilvl w:val="0"/>
          <w:numId w:val="5"/>
        </w:numPr>
        <w:jc w:val="both"/>
        <w:rPr/>
      </w:pPr>
      <w:r>
        <w:rPr/>
        <w:t>МО «Тараса» (с. Тараса)</w:t>
      </w:r>
    </w:p>
    <w:p>
      <w:pPr>
        <w:pStyle w:val="Normal"/>
        <w:numPr>
          <w:ilvl w:val="0"/>
          <w:numId w:val="5"/>
        </w:numPr>
        <w:jc w:val="both"/>
        <w:rPr/>
      </w:pPr>
      <w:r>
        <w:rPr/>
        <w:t>МО «Тихоновка» (с. Тихоновка)</w:t>
      </w:r>
    </w:p>
    <w:p>
      <w:pPr>
        <w:pStyle w:val="Normal"/>
        <w:numPr>
          <w:ilvl w:val="0"/>
          <w:numId w:val="5"/>
        </w:numPr>
        <w:jc w:val="both"/>
        <w:rPr/>
      </w:pPr>
      <w:r>
        <w:rPr/>
        <w:t>МО «Укыр» (с. Укыр)</w:t>
      </w:r>
    </w:p>
    <w:p>
      <w:pPr>
        <w:pStyle w:val="Normal"/>
        <w:numPr>
          <w:ilvl w:val="0"/>
          <w:numId w:val="5"/>
        </w:numPr>
        <w:jc w:val="both"/>
        <w:rPr/>
      </w:pPr>
      <w:r>
        <w:rPr/>
        <w:t>МО «Хохорск» (с. Хохорск)</w:t>
      </w:r>
    </w:p>
    <w:p>
      <w:pPr>
        <w:pStyle w:val="Normal"/>
        <w:numPr>
          <w:ilvl w:val="0"/>
          <w:numId w:val="5"/>
        </w:numPr>
        <w:jc w:val="both"/>
        <w:rPr/>
      </w:pPr>
      <w:r>
        <w:rPr/>
        <w:t>МО «Шаралдай» (с. Дундай).</w:t>
      </w:r>
    </w:p>
    <w:p>
      <w:pPr>
        <w:pStyle w:val="Normal"/>
        <w:widowControl w:val="false"/>
        <w:tabs>
          <w:tab w:val="left" w:pos="3544" w:leader="none"/>
        </w:tabs>
        <w:spacing w:lineRule="exact" w:line="285" w:before="75" w:after="0"/>
        <w:jc w:val="center"/>
        <w:rPr>
          <w:b/>
          <w:b/>
          <w:color w:val="000000"/>
        </w:rPr>
      </w:pPr>
      <w:r>
        <w:rPr>
          <w:b/>
          <w:color w:val="000000"/>
        </w:rPr>
      </w:r>
    </w:p>
    <w:p>
      <w:pPr>
        <w:pStyle w:val="Normal"/>
        <w:widowControl w:val="false"/>
        <w:tabs>
          <w:tab w:val="left" w:pos="0" w:leader="none"/>
        </w:tabs>
        <w:spacing w:lineRule="exact" w:line="285" w:before="285" w:after="0"/>
        <w:contextualSpacing/>
        <w:rPr>
          <w:i/>
          <w:i/>
        </w:rPr>
      </w:pPr>
      <w:r>
        <w:rPr>
          <w:b/>
          <w:color w:val="000000"/>
        </w:rPr>
        <w:t xml:space="preserve">      </w:t>
      </w:r>
      <w:r>
        <w:rPr>
          <w:b/>
          <w:i/>
          <w:color w:val="000000"/>
        </w:rPr>
        <w:t>Глава 1.4.Экономическая база  муниципального образования «Боханский район»</w:t>
      </w:r>
    </w:p>
    <w:p>
      <w:pPr>
        <w:pStyle w:val="Normal"/>
        <w:jc w:val="both"/>
        <w:rPr>
          <w:sz w:val="28"/>
        </w:rPr>
      </w:pPr>
      <w:r>
        <w:rPr>
          <w:sz w:val="28"/>
        </w:rPr>
      </w:r>
    </w:p>
    <w:p>
      <w:pPr>
        <w:pStyle w:val="BodyTextIndent3"/>
        <w:rPr>
          <w:sz w:val="24"/>
          <w:szCs w:val="24"/>
        </w:rPr>
      </w:pPr>
      <w:r>
        <w:rPr>
          <w:sz w:val="24"/>
          <w:szCs w:val="24"/>
        </w:rPr>
        <w:t xml:space="preserve">     </w:t>
      </w:r>
      <w:r>
        <w:rPr>
          <w:sz w:val="24"/>
          <w:szCs w:val="24"/>
        </w:rPr>
        <w:t>Экономическая деятельность МО «Боханский район» основана на производстве и переработке сельскохозяйственной продукции, заготовке и переработке леса, розничной торговле продовольственными и другими товарами.</w:t>
      </w:r>
    </w:p>
    <w:p>
      <w:pPr>
        <w:pStyle w:val="BodyTextIndent3"/>
        <w:rPr>
          <w:sz w:val="24"/>
          <w:szCs w:val="24"/>
        </w:rPr>
      </w:pPr>
      <w:r>
        <w:rPr>
          <w:sz w:val="24"/>
          <w:szCs w:val="24"/>
        </w:rPr>
        <w:t xml:space="preserve">Выручка от реализации продукции, работ и услуг составила 1754  млн. руб., или 99,8 % к уровню прошлого года. </w:t>
      </w:r>
    </w:p>
    <w:p>
      <w:pPr>
        <w:pStyle w:val="BodyTextIndent3"/>
        <w:rPr>
          <w:sz w:val="24"/>
          <w:szCs w:val="24"/>
        </w:rPr>
      </w:pPr>
      <w:r>
        <w:rPr>
          <w:sz w:val="24"/>
          <w:szCs w:val="24"/>
        </w:rPr>
        <w:t>Объем промышленного производства в общем объеме составляет 7,2 %, сельскохозяйственное производство –11 %,  строительство- 9,5%, розничная торговля – 72,3 %.</w:t>
      </w:r>
    </w:p>
    <w:p>
      <w:pPr>
        <w:pStyle w:val="BodyTextIndent3"/>
        <w:rPr>
          <w:sz w:val="24"/>
          <w:szCs w:val="24"/>
        </w:rPr>
      </w:pPr>
      <w:r>
        <w:rPr>
          <w:sz w:val="24"/>
          <w:szCs w:val="24"/>
        </w:rPr>
        <w:t>В 2015 году  на 1 работающего произведено продукции:</w:t>
      </w:r>
    </w:p>
    <w:p>
      <w:pPr>
        <w:pStyle w:val="BodyTextIndent3"/>
        <w:numPr>
          <w:ilvl w:val="0"/>
          <w:numId w:val="6"/>
        </w:numPr>
        <w:spacing w:before="0" w:after="0"/>
        <w:jc w:val="both"/>
        <w:outlineLvl w:val="0"/>
        <w:rPr>
          <w:sz w:val="24"/>
          <w:szCs w:val="24"/>
        </w:rPr>
      </w:pPr>
      <w:r>
        <w:rPr>
          <w:sz w:val="24"/>
          <w:szCs w:val="24"/>
        </w:rPr>
        <w:t>в промышленности –  66550 руб.</w:t>
      </w:r>
    </w:p>
    <w:p>
      <w:pPr>
        <w:pStyle w:val="BodyTextIndent3"/>
        <w:numPr>
          <w:ilvl w:val="0"/>
          <w:numId w:val="6"/>
        </w:numPr>
        <w:spacing w:before="0" w:after="0"/>
        <w:jc w:val="both"/>
        <w:outlineLvl w:val="0"/>
        <w:rPr>
          <w:sz w:val="24"/>
          <w:szCs w:val="24"/>
        </w:rPr>
      </w:pPr>
      <w:r>
        <w:rPr>
          <w:sz w:val="24"/>
          <w:szCs w:val="24"/>
        </w:rPr>
        <w:t xml:space="preserve">в сельском хозяйстве –29125 руб. </w:t>
      </w:r>
    </w:p>
    <w:p>
      <w:pPr>
        <w:pStyle w:val="Normal"/>
        <w:numPr>
          <w:ilvl w:val="0"/>
          <w:numId w:val="0"/>
        </w:numPr>
        <w:ind w:firstLine="709"/>
        <w:outlineLvl w:val="0"/>
        <w:rPr>
          <w:b/>
          <w:b/>
          <w:i/>
          <w:i/>
        </w:rPr>
      </w:pPr>
      <w:r>
        <w:rPr>
          <w:b/>
          <w:i/>
        </w:rPr>
      </w:r>
    </w:p>
    <w:p>
      <w:pPr>
        <w:pStyle w:val="Normal"/>
        <w:numPr>
          <w:ilvl w:val="0"/>
          <w:numId w:val="0"/>
        </w:numPr>
        <w:ind w:firstLine="709"/>
        <w:outlineLvl w:val="0"/>
        <w:rPr>
          <w:b/>
          <w:b/>
          <w:i/>
          <w:i/>
          <w:color w:val="000000"/>
        </w:rPr>
      </w:pPr>
      <w:r>
        <w:rPr>
          <w:b/>
          <w:i/>
        </w:rPr>
        <w:t>Сельское хозяйство</w:t>
      </w:r>
    </w:p>
    <w:p>
      <w:pPr>
        <w:pStyle w:val="Normal"/>
        <w:numPr>
          <w:ilvl w:val="0"/>
          <w:numId w:val="0"/>
        </w:numPr>
        <w:ind w:firstLine="709"/>
        <w:jc w:val="both"/>
        <w:outlineLvl w:val="0"/>
        <w:rPr/>
      </w:pPr>
      <w:r>
        <w:rPr/>
        <w:t>Сельское хозяйство Боханского района представляют  5 сельхозпредприятий, 4 сельскохозяйственных производственных кооператива,  101 крестьянско-фермерское хозяйство, 8109 личных подсобных хозяйств.</w:t>
      </w:r>
    </w:p>
    <w:p>
      <w:pPr>
        <w:pStyle w:val="Normal"/>
        <w:ind w:firstLine="708"/>
        <w:jc w:val="both"/>
        <w:rPr>
          <w:i/>
          <w:i/>
        </w:rPr>
      </w:pPr>
      <w:r>
        <w:rPr>
          <w:i/>
        </w:rPr>
        <w:t>Индекс физического объема производства сельскохозяйственной продукции в 2015 году</w:t>
      </w:r>
      <w:r>
        <w:rPr/>
        <w:t xml:space="preserve">  </w:t>
      </w:r>
      <w:r>
        <w:rPr>
          <w:i/>
        </w:rPr>
        <w:t>составил</w:t>
      </w:r>
      <w:r>
        <w:rPr/>
        <w:t xml:space="preserve">  109,5</w:t>
      </w:r>
      <w:r>
        <w:rPr>
          <w:i/>
        </w:rPr>
        <w:t>%.</w:t>
      </w:r>
    </w:p>
    <w:p>
      <w:pPr>
        <w:pStyle w:val="Normal"/>
        <w:ind w:firstLine="708"/>
        <w:jc w:val="both"/>
        <w:rPr/>
      </w:pPr>
      <w:r>
        <w:rPr/>
        <w:t>По району вспахано 14655 га паров, 3703 га зяби, введено в оборот 2500 га неиспользованной пашни.  Посевная площадь зерновых культур составила 18819 га, увеличение к уровню 2014 года  на 386 га. Посевная компания проведена в агротехнические сроки с неплохим качеством. Жара в июне и первой половине июля пагубно сказалась на росте и развитии посевов. Поля высохли, посевы поредели, в результате комиссионного обследования 5379 га списаны, 3154 га зерновых  переведены в комовые культуры. Производство зерна сократилось, валовый сбор составил 2640 т .</w:t>
      </w:r>
    </w:p>
    <w:p>
      <w:pPr>
        <w:pStyle w:val="Normal"/>
        <w:jc w:val="both"/>
        <w:rPr/>
      </w:pPr>
      <w:r>
        <w:rPr/>
        <w:tab/>
        <w:t xml:space="preserve">В  2015 году  сельхозтоваропроизводителями  Боханского района произведено молока  4736,8 тонн, или 94 % к уровню прошлого года, мяса 170,8 тонн, или 92,4% к уровню прошлого года. </w:t>
      </w:r>
    </w:p>
    <w:p>
      <w:pPr>
        <w:pStyle w:val="BodyTextIndent3"/>
        <w:ind w:left="283" w:firstLine="708"/>
        <w:rPr>
          <w:b/>
          <w:b/>
          <w:i/>
          <w:i/>
          <w:sz w:val="24"/>
          <w:szCs w:val="24"/>
        </w:rPr>
      </w:pPr>
      <w:r>
        <w:rPr>
          <w:sz w:val="24"/>
          <w:szCs w:val="24"/>
        </w:rPr>
        <w:t>В    2015 году закуплено  молока в ЛПХ района    396,4 тонны (на 32,76 млн. руб.).</w:t>
      </w:r>
    </w:p>
    <w:p>
      <w:pPr>
        <w:pStyle w:val="BodyTextIndent3"/>
        <w:ind w:left="283" w:firstLine="708"/>
        <w:rPr>
          <w:b/>
          <w:b/>
          <w:i/>
          <w:i/>
          <w:sz w:val="24"/>
          <w:szCs w:val="24"/>
        </w:rPr>
      </w:pPr>
      <w:r>
        <w:rPr>
          <w:b/>
          <w:i/>
          <w:sz w:val="24"/>
          <w:szCs w:val="24"/>
        </w:rPr>
        <w:t>Промышленность.</w:t>
      </w:r>
    </w:p>
    <w:p>
      <w:pPr>
        <w:pStyle w:val="Normal"/>
        <w:spacing w:before="0" w:after="120"/>
        <w:ind w:firstLine="720"/>
        <w:jc w:val="center"/>
        <w:rPr/>
      </w:pPr>
      <w:r>
        <w:rPr/>
        <w:t>Структура промышленности по основным видам деятельности.</w:t>
      </w:r>
    </w:p>
    <w:tbl>
      <w:tblPr>
        <w:tblW w:w="9459" w:type="dxa"/>
        <w:jc w:val="left"/>
        <w:tblInd w:w="2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5524"/>
        <w:gridCol w:w="1889"/>
        <w:gridCol w:w="2046"/>
      </w:tblGrid>
      <w:tr>
        <w:trPr/>
        <w:tc>
          <w:tcPr>
            <w:tcW w:w="55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Виды деятельности</w:t>
            </w:r>
          </w:p>
        </w:tc>
        <w:tc>
          <w:tcPr>
            <w:tcW w:w="18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Удельный вес в общем объеме производства, %</w:t>
            </w:r>
          </w:p>
        </w:tc>
        <w:tc>
          <w:tcPr>
            <w:tcW w:w="2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rFonts w:ascii="Arial" w:hAnsi="Arial" w:cs="Arial"/>
                <w:color w:val="000000"/>
              </w:rPr>
            </w:pPr>
            <w:r>
              <w:rPr/>
              <w:t>Индекс промышленного производства, %</w:t>
            </w:r>
          </w:p>
        </w:tc>
      </w:tr>
      <w:tr>
        <w:trPr/>
        <w:tc>
          <w:tcPr>
            <w:tcW w:w="55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Обрабатывающие производства</w:t>
            </w:r>
          </w:p>
        </w:tc>
        <w:tc>
          <w:tcPr>
            <w:tcW w:w="18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jc w:val="center"/>
              <w:rPr/>
            </w:pPr>
            <w:r>
              <w:rPr/>
              <w:t>59</w:t>
            </w:r>
          </w:p>
        </w:tc>
        <w:tc>
          <w:tcPr>
            <w:tcW w:w="2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jc w:val="center"/>
              <w:rPr/>
            </w:pPr>
            <w:r>
              <w:rPr/>
              <w:t>114,7</w:t>
            </w:r>
          </w:p>
        </w:tc>
      </w:tr>
      <w:tr>
        <w:trPr/>
        <w:tc>
          <w:tcPr>
            <w:tcW w:w="55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Производство и распределение электроэнергии, газа и воды</w:t>
            </w:r>
          </w:p>
        </w:tc>
        <w:tc>
          <w:tcPr>
            <w:tcW w:w="18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jc w:val="center"/>
              <w:rPr/>
            </w:pPr>
            <w:r>
              <w:rPr/>
              <w:t>41</w:t>
            </w:r>
          </w:p>
        </w:tc>
        <w:tc>
          <w:tcPr>
            <w:tcW w:w="2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jc w:val="center"/>
              <w:rPr/>
            </w:pPr>
            <w:r>
              <w:rPr/>
              <w:t>101,3</w:t>
            </w:r>
          </w:p>
        </w:tc>
      </w:tr>
    </w:tbl>
    <w:p>
      <w:pPr>
        <w:pStyle w:val="Normal"/>
        <w:tabs>
          <w:tab w:val="left" w:pos="720" w:leader="none"/>
        </w:tabs>
        <w:ind w:firstLine="720"/>
        <w:jc w:val="both"/>
        <w:rPr>
          <w:b/>
          <w:b/>
          <w:i/>
          <w:i/>
        </w:rPr>
      </w:pPr>
      <w:r>
        <w:rPr>
          <w:b/>
          <w:i/>
        </w:rPr>
      </w:r>
    </w:p>
    <w:p>
      <w:pPr>
        <w:pStyle w:val="Normal"/>
        <w:ind w:firstLine="709"/>
        <w:jc w:val="both"/>
        <w:rPr>
          <w:b/>
          <w:b/>
          <w:i/>
          <w:i/>
          <w:color w:val="FF0000"/>
        </w:rPr>
      </w:pPr>
      <w:r>
        <w:rPr>
          <w:b/>
          <w:i/>
        </w:rPr>
        <w:t xml:space="preserve">Обрабатывающие производства. </w:t>
      </w:r>
      <w:r>
        <w:rPr/>
        <w:t>Индекс промышленного производства  по данному виду экономической деятельности  в   2015 году  составил 114,7</w:t>
      </w:r>
      <w:r>
        <w:rPr>
          <w:color w:val="FF0000"/>
        </w:rPr>
        <w:t xml:space="preserve"> </w:t>
      </w:r>
      <w:r>
        <w:rPr/>
        <w:t xml:space="preserve">%. </w:t>
      </w:r>
    </w:p>
    <w:p>
      <w:pPr>
        <w:pStyle w:val="BodyText3"/>
        <w:spacing w:before="0" w:after="0"/>
        <w:ind w:firstLine="709"/>
        <w:jc w:val="both"/>
        <w:rPr>
          <w:i/>
          <w:i/>
          <w:sz w:val="24"/>
          <w:szCs w:val="24"/>
        </w:rPr>
      </w:pPr>
      <w:r>
        <w:rPr>
          <w:i/>
          <w:sz w:val="24"/>
          <w:szCs w:val="24"/>
        </w:rPr>
        <w:t>Производство пищевых продуктов.</w:t>
      </w:r>
    </w:p>
    <w:p>
      <w:pPr>
        <w:pStyle w:val="BodyTextIndent3"/>
        <w:ind w:left="283" w:firstLine="708"/>
        <w:rPr>
          <w:sz w:val="24"/>
          <w:szCs w:val="24"/>
        </w:rPr>
      </w:pPr>
      <w:r>
        <w:rPr>
          <w:sz w:val="24"/>
          <w:szCs w:val="24"/>
        </w:rPr>
        <w:t xml:space="preserve">Закупаемая цельномолочная продукция </w:t>
      </w:r>
      <w:r>
        <w:rPr>
          <w:color w:val="000000"/>
          <w:sz w:val="24"/>
          <w:szCs w:val="24"/>
        </w:rPr>
        <w:t xml:space="preserve">Сельскохозяйственным перерабатывающим снабженческо сбытовым потребительским кооперативом «Боханское молоко» </w:t>
      </w:r>
      <w:r>
        <w:rPr>
          <w:sz w:val="24"/>
          <w:szCs w:val="24"/>
        </w:rPr>
        <w:t>не перерабатывается, а полностью вывозится  на Иркутский масложиркомбинат.</w:t>
      </w:r>
    </w:p>
    <w:p>
      <w:pPr>
        <w:pStyle w:val="BodyTextIndent3"/>
        <w:ind w:left="283" w:firstLine="708"/>
        <w:rPr>
          <w:sz w:val="24"/>
          <w:szCs w:val="24"/>
        </w:rPr>
      </w:pPr>
      <w:r>
        <w:rPr>
          <w:sz w:val="24"/>
          <w:szCs w:val="24"/>
        </w:rPr>
        <w:t xml:space="preserve">Производит   мукомольную продукцию  из пшеницы местных сортов  и реализует  населению и предприятиям  района  ООО «Буретское ХПП».  </w:t>
      </w:r>
    </w:p>
    <w:p>
      <w:pPr>
        <w:pStyle w:val="BodyTextIndent3"/>
        <w:ind w:left="283" w:firstLine="708"/>
        <w:rPr>
          <w:sz w:val="24"/>
          <w:szCs w:val="24"/>
        </w:rPr>
      </w:pPr>
      <w:r>
        <w:rPr>
          <w:sz w:val="24"/>
          <w:szCs w:val="24"/>
        </w:rPr>
        <w:t xml:space="preserve"> </w:t>
      </w:r>
      <w:r>
        <w:rPr>
          <w:i/>
          <w:sz w:val="24"/>
          <w:szCs w:val="24"/>
        </w:rPr>
        <w:t>Обработка древесины и производство изделий из дерева.</w:t>
      </w:r>
      <w:r>
        <w:rPr>
          <w:sz w:val="24"/>
          <w:szCs w:val="24"/>
        </w:rPr>
        <w:t xml:space="preserve">  Индекс промышленного производства в 2015 году  составил  114,3 %. </w:t>
      </w:r>
    </w:p>
    <w:p>
      <w:pPr>
        <w:pStyle w:val="Normal"/>
        <w:numPr>
          <w:ilvl w:val="0"/>
          <w:numId w:val="0"/>
        </w:numPr>
        <w:ind w:firstLine="709"/>
        <w:jc w:val="both"/>
        <w:outlineLvl w:val="0"/>
        <w:rPr/>
      </w:pPr>
      <w:r>
        <w:rPr>
          <w:i/>
        </w:rPr>
        <w:t>Издательская и полиграфическая деятельность.</w:t>
      </w:r>
      <w:r>
        <w:rPr/>
        <w:t xml:space="preserve"> Индекс промышленного производства составил 104,4</w:t>
      </w:r>
      <w:r>
        <w:rPr>
          <w:color w:val="FF0000"/>
        </w:rPr>
        <w:t xml:space="preserve"> </w:t>
      </w:r>
      <w:r>
        <w:rPr/>
        <w:t>%. Данный вид экономической деятельности на территории района осуществляет</w:t>
      </w:r>
      <w:r>
        <w:rPr>
          <w:i/>
          <w:color w:val="FF0000"/>
        </w:rPr>
        <w:t xml:space="preserve"> </w:t>
      </w:r>
      <w:r>
        <w:rPr/>
        <w:t>МУП «Боханская  типография»</w:t>
      </w:r>
      <w:r>
        <w:rPr>
          <w:i/>
        </w:rPr>
        <w:t>,</w:t>
      </w:r>
      <w:r>
        <w:rPr/>
        <w:t xml:space="preserve"> которой  в 2015 году  произведено продукции на 0,74 млн. руб. </w:t>
      </w:r>
    </w:p>
    <w:p>
      <w:pPr>
        <w:pStyle w:val="Normal"/>
        <w:jc w:val="both"/>
        <w:rPr>
          <w:b/>
          <w:b/>
          <w:i/>
          <w:i/>
          <w:color w:val="000000"/>
          <w:sz w:val="28"/>
          <w:szCs w:val="28"/>
        </w:rPr>
      </w:pPr>
      <w:r>
        <w:rPr>
          <w:color w:val="000000"/>
          <w:sz w:val="28"/>
          <w:szCs w:val="28"/>
        </w:rPr>
        <w:tab/>
      </w:r>
    </w:p>
    <w:p>
      <w:pPr>
        <w:pStyle w:val="Normal"/>
        <w:ind w:firstLine="708"/>
        <w:jc w:val="both"/>
        <w:rPr>
          <w:b/>
          <w:b/>
          <w:i/>
          <w:i/>
        </w:rPr>
      </w:pPr>
      <w:r>
        <w:rPr>
          <w:color w:val="000000"/>
          <w:sz w:val="28"/>
          <w:szCs w:val="28"/>
        </w:rPr>
        <w:t xml:space="preserve"> </w:t>
      </w:r>
      <w:r>
        <w:rPr>
          <w:b/>
          <w:i/>
        </w:rPr>
        <w:t xml:space="preserve">Производство и распределение электроэнергии. </w:t>
      </w:r>
      <w:r>
        <w:rPr/>
        <w:t>Индекс промышленного производства   составил 101,3 %.</w:t>
      </w:r>
    </w:p>
    <w:p>
      <w:pPr>
        <w:pStyle w:val="Normal"/>
        <w:ind w:firstLine="708"/>
        <w:jc w:val="both"/>
        <w:rPr/>
      </w:pPr>
      <w:r>
        <w:rPr>
          <w:color w:val="000000"/>
        </w:rPr>
        <w:t xml:space="preserve">Все населенные пункты Боханского  района обеспечены бесперебойной  подачей электроэнергии. На территории района данным видом экономической деятельности  занимаются </w:t>
      </w:r>
      <w:r>
        <w:rPr/>
        <w:t xml:space="preserve">Восточные электрические сети ОАО «Иркутская электросетевая компания», филиал ГУЭП «Облкоммунэнерго» Усть-Ордынские электрические сети. </w:t>
      </w:r>
    </w:p>
    <w:p>
      <w:pPr>
        <w:pStyle w:val="Normal"/>
        <w:ind w:firstLine="708"/>
        <w:jc w:val="both"/>
        <w:rPr/>
      </w:pPr>
      <w:r>
        <w:rPr/>
      </w:r>
    </w:p>
    <w:p>
      <w:pPr>
        <w:pStyle w:val="Normal"/>
        <w:ind w:firstLine="708"/>
        <w:jc w:val="both"/>
        <w:rPr>
          <w:b/>
          <w:b/>
          <w:i/>
          <w:i/>
        </w:rPr>
      </w:pPr>
      <w:r>
        <w:rPr>
          <w:b/>
          <w:i/>
        </w:rPr>
        <w:t>Производство и распределение тепловой энергии (котельными).</w:t>
      </w:r>
    </w:p>
    <w:p>
      <w:pPr>
        <w:pStyle w:val="Normal"/>
        <w:ind w:firstLine="708"/>
        <w:jc w:val="both"/>
        <w:rPr/>
      </w:pPr>
      <w:r>
        <w:rPr/>
        <w:t>Объекты жилищно-коммунального хозяйства и организаций  муниципальной собственности  обслуживают котельные ООО «Окружные коммунальные системы".</w:t>
      </w:r>
    </w:p>
    <w:p>
      <w:pPr>
        <w:pStyle w:val="Normal"/>
        <w:ind w:firstLine="708"/>
        <w:jc w:val="both"/>
        <w:rPr>
          <w:b/>
          <w:b/>
          <w:i/>
          <w:i/>
        </w:rPr>
      </w:pPr>
      <w:r>
        <w:rPr/>
        <w:t xml:space="preserve">В   2015 году произведено  2,95 тыс. Гкал. </w:t>
      </w:r>
    </w:p>
    <w:p>
      <w:pPr>
        <w:pStyle w:val="Normal"/>
        <w:ind w:firstLine="708"/>
        <w:jc w:val="both"/>
        <w:rPr>
          <w:b/>
          <w:b/>
          <w:i/>
          <w:i/>
          <w:sz w:val="28"/>
          <w:szCs w:val="28"/>
        </w:rPr>
      </w:pPr>
      <w:r>
        <w:rPr>
          <w:b/>
          <w:i/>
          <w:sz w:val="28"/>
          <w:szCs w:val="28"/>
        </w:rPr>
      </w:r>
    </w:p>
    <w:p>
      <w:pPr>
        <w:pStyle w:val="Normal"/>
        <w:ind w:firstLine="708"/>
        <w:jc w:val="both"/>
        <w:rPr>
          <w:b/>
          <w:b/>
          <w:i/>
          <w:i/>
        </w:rPr>
      </w:pPr>
      <w:r>
        <w:rPr>
          <w:b/>
          <w:i/>
        </w:rPr>
        <w:t>Потребительский рынок</w:t>
      </w:r>
    </w:p>
    <w:p>
      <w:pPr>
        <w:pStyle w:val="Normal"/>
        <w:jc w:val="both"/>
        <w:rPr/>
      </w:pPr>
      <w:r>
        <w:rPr/>
        <w:t xml:space="preserve">В отчетном году на территории    муниципального  образования  «Боханский  район»  произошло снижение количества объектов    потребительского  рынка с </w:t>
      </w:r>
      <w:r>
        <w:rPr>
          <w:color w:val="FF0000"/>
        </w:rPr>
        <w:t xml:space="preserve"> </w:t>
      </w:r>
      <w:r>
        <w:rPr/>
        <w:t>349</w:t>
      </w:r>
      <w:r>
        <w:rPr>
          <w:b/>
        </w:rPr>
        <w:t xml:space="preserve">  </w:t>
      </w:r>
      <w:r>
        <w:rPr/>
        <w:t xml:space="preserve">до 335 (объекты розничной торговли –312, объекты общественного питания – 23,  объекты бытового обслуживания - 4). </w:t>
      </w:r>
    </w:p>
    <w:p>
      <w:pPr>
        <w:pStyle w:val="Normal"/>
        <w:tabs>
          <w:tab w:val="left" w:pos="930" w:leader="none"/>
        </w:tabs>
        <w:ind w:firstLine="720"/>
        <w:jc w:val="both"/>
        <w:rPr/>
      </w:pPr>
      <w:r>
        <w:rPr/>
        <w:t xml:space="preserve"> </w:t>
      </w:r>
      <w:r>
        <w:rPr/>
        <w:t xml:space="preserve">Розничный товарооборот в целом по району в  2015 году     составил 1312,3 млн. руб., за соответствующий период прошлого года 1227,4 млн. руб., увеличение розничного товарооборота на  107%.   </w:t>
      </w:r>
    </w:p>
    <w:p>
      <w:pPr>
        <w:pStyle w:val="Normal"/>
        <w:jc w:val="both"/>
        <w:rPr/>
      </w:pPr>
      <w:r>
        <w:rPr/>
        <w:t xml:space="preserve">       </w:t>
      </w:r>
      <w:r>
        <w:rPr/>
        <w:t>Торговая площадь предприятий розничной торговли составляет 17,3 тыс. кв.м. Суммарный норматив минимальной обеспеченности населения Боханского района  площадью торговых объектов составляет - 256 кв.м на 1000 чел. Фактическая обеспеченность населения в районе составляет 693 кв.м на 1000 чел., и  превышает норматив в 2,7 раза.</w:t>
      </w:r>
    </w:p>
    <w:p>
      <w:pPr>
        <w:pStyle w:val="Normal"/>
        <w:jc w:val="both"/>
        <w:rPr/>
      </w:pPr>
      <w:r>
        <w:rPr/>
        <w:t xml:space="preserve">          </w:t>
      </w:r>
      <w:r>
        <w:rPr/>
        <w:t>В целях сдерживания цен на продовольственные товары на территории района функционируют 5 магазинов, где реализуются товары населению с</w:t>
      </w:r>
      <w:r>
        <w:rPr>
          <w:sz w:val="28"/>
          <w:szCs w:val="28"/>
        </w:rPr>
        <w:t xml:space="preserve"> </w:t>
      </w:r>
      <w:r>
        <w:rPr/>
        <w:t xml:space="preserve">минимальными торговыми надбавками (10-12%) и являются социально-ориентированными на малообеспеченного потребителя. В качестве антикризисной меры, направленной на стабилизацию розничных цен на продовольствие и их снижение, администрацией   проводятся сезонные  ярмарки,  ярмарки «выходного дня» для торговли продукцией местных товаропроизводителей, производителей сельскохозяйственной продукции, продукции владельцев личных подсобных хозяйств. Количество торговых мест на торговых площадках не ограничено. </w:t>
      </w:r>
    </w:p>
    <w:p>
      <w:pPr>
        <w:pStyle w:val="Normal"/>
        <w:jc w:val="both"/>
        <w:rPr/>
      </w:pPr>
      <w:r>
        <w:rPr/>
      </w:r>
    </w:p>
    <w:p>
      <w:pPr>
        <w:pStyle w:val="Normal"/>
        <w:jc w:val="both"/>
        <w:rPr>
          <w:b/>
          <w:b/>
          <w:i/>
          <w:i/>
        </w:rPr>
      </w:pPr>
      <w:r>
        <w:rPr/>
        <w:t xml:space="preserve">           </w:t>
      </w:r>
      <w:r>
        <w:rPr>
          <w:b/>
          <w:i/>
        </w:rPr>
        <w:t>Малый бизнес.</w:t>
      </w:r>
    </w:p>
    <w:p>
      <w:pPr>
        <w:pStyle w:val="Normal"/>
        <w:ind w:firstLine="709"/>
        <w:jc w:val="both"/>
        <w:rPr/>
      </w:pPr>
      <w:r>
        <w:rPr/>
        <w:t xml:space="preserve">За последние годы малый и средний бизнес в Боханском районе завоевал устойчивые позиции, определились стабильно работающие группы предпринимателей, в основном сконцентрированные в сфере торговли и сельского хозяйства. </w:t>
      </w:r>
    </w:p>
    <w:p>
      <w:pPr>
        <w:pStyle w:val="Normal"/>
        <w:jc w:val="both"/>
        <w:rPr/>
      </w:pPr>
      <w:r>
        <w:rPr/>
        <w:t xml:space="preserve">      </w:t>
      </w:r>
      <w:r>
        <w:rPr/>
        <w:tab/>
        <w:t xml:space="preserve"> Численность занятых в малом бизнесе с учетом наемных работников составляет 1811человека.</w:t>
      </w:r>
    </w:p>
    <w:p>
      <w:pPr>
        <w:pStyle w:val="Normal"/>
        <w:jc w:val="both"/>
        <w:rPr/>
      </w:pPr>
      <w:r>
        <w:rPr/>
        <w:t xml:space="preserve">     </w:t>
      </w:r>
      <w:r>
        <w:rPr/>
        <w:tab/>
        <w:t xml:space="preserve"> В настоящее время среднемесячная заработная плата по малым и средним предприятиям составляет 8950 руб., что является одним из  низких экономических показателей.</w:t>
      </w:r>
      <w:r>
        <w:rPr>
          <w:rFonts w:cs="Tahoma" w:ascii="Tahoma" w:hAnsi="Tahoma"/>
          <w:color w:val="4F4F4F"/>
        </w:rPr>
        <w:t xml:space="preserve"> </w:t>
      </w:r>
      <w:r>
        <w:rPr/>
        <w:t>Тем не менее, темпы роста численности субъектов малого и среднего предпринимательства, количество созданных рабочих мест, увеличение объемов выпуска продукции за последние годы свидетельствует о динамичном развитии этого сектора экономики.</w:t>
      </w:r>
    </w:p>
    <w:p>
      <w:pPr>
        <w:pStyle w:val="Normal"/>
        <w:jc w:val="both"/>
        <w:rPr/>
      </w:pPr>
      <w:r>
        <w:rPr/>
        <w:t xml:space="preserve">            </w:t>
      </w:r>
      <w:r>
        <w:rPr/>
        <w:t xml:space="preserve">С  2009 года работает  муниципальная целевая программа «Поддержка и развитие малого и среднего предпринимательства в Боханском районе», объем финансирования которой составляет  до 300 тыс.руб. ежегодно из местного бюджета. </w:t>
      </w:r>
    </w:p>
    <w:p>
      <w:pPr>
        <w:pStyle w:val="Normal"/>
        <w:jc w:val="both"/>
        <w:rPr>
          <w:i/>
          <w:i/>
        </w:rPr>
      </w:pPr>
      <w:r>
        <w:rPr>
          <w:color w:val="000000"/>
        </w:rPr>
        <w:t xml:space="preserve">     </w:t>
      </w:r>
      <w:r>
        <w:rPr/>
        <w:t xml:space="preserve">       </w:t>
      </w:r>
    </w:p>
    <w:p>
      <w:pPr>
        <w:pStyle w:val="Normal"/>
        <w:ind w:firstLine="720"/>
        <w:jc w:val="center"/>
        <w:rPr>
          <w:i/>
          <w:i/>
        </w:rPr>
      </w:pPr>
      <w:r>
        <w:rPr>
          <w:i/>
        </w:rPr>
        <w:t>Основные показатели развития малого предпринимательства</w:t>
      </w:r>
    </w:p>
    <w:p>
      <w:pPr>
        <w:pStyle w:val="Normal"/>
        <w:tabs>
          <w:tab w:val="left" w:pos="0" w:leader="none"/>
        </w:tabs>
        <w:ind w:firstLine="540"/>
        <w:jc w:val="both"/>
        <w:rPr>
          <w:spacing w:val="-6"/>
        </w:rPr>
      </w:pPr>
      <w:r>
        <w:rPr>
          <w:spacing w:val="-6"/>
        </w:rPr>
      </w:r>
    </w:p>
    <w:tbl>
      <w:tblPr>
        <w:tblW w:w="4900" w:type="pct"/>
        <w:jc w:val="left"/>
        <w:tblInd w:w="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0" w:type="dxa"/>
          <w:left w:w="107" w:type="dxa"/>
          <w:bottom w:w="0" w:type="dxa"/>
          <w:right w:w="108" w:type="dxa"/>
        </w:tblCellMar>
        <w:tblLook w:val="04a0"/>
      </w:tblPr>
      <w:tblGrid>
        <w:gridCol w:w="4723"/>
        <w:gridCol w:w="1172"/>
        <w:gridCol w:w="982"/>
        <w:gridCol w:w="934"/>
        <w:gridCol w:w="1356"/>
      </w:tblGrid>
      <w:tr>
        <w:trPr>
          <w:tblHeader w:val="true"/>
          <w:trHeight w:val="665" w:hRule="atLeast"/>
        </w:trPr>
        <w:tc>
          <w:tcPr>
            <w:tcW w:w="472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12"/>
              <w:jc w:val="center"/>
              <w:rPr>
                <w:b/>
                <w:b/>
                <w:bCs/>
                <w:spacing w:val="-4"/>
              </w:rPr>
            </w:pPr>
            <w:r>
              <w:rPr>
                <w:b/>
                <w:bCs/>
                <w:spacing w:val="-4"/>
              </w:rPr>
              <w:t>Наименование</w:t>
            </w:r>
          </w:p>
          <w:p>
            <w:pPr>
              <w:pStyle w:val="Normal"/>
              <w:ind w:firstLine="12"/>
              <w:jc w:val="center"/>
              <w:rPr>
                <w:b/>
                <w:b/>
                <w:bCs/>
              </w:rPr>
            </w:pPr>
            <w:r>
              <w:rPr>
                <w:b/>
                <w:bCs/>
                <w:spacing w:val="-4"/>
              </w:rPr>
              <w:t>показателей</w:t>
            </w:r>
          </w:p>
        </w:tc>
        <w:tc>
          <w:tcPr>
            <w:tcW w:w="11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2"/>
              <w:jc w:val="center"/>
              <w:rPr>
                <w:b/>
                <w:b/>
                <w:bCs/>
              </w:rPr>
            </w:pPr>
            <w:r>
              <w:rPr>
                <w:b/>
                <w:bCs/>
              </w:rPr>
              <w:t>Ед. изм.</w:t>
            </w:r>
          </w:p>
        </w:tc>
        <w:tc>
          <w:tcPr>
            <w:tcW w:w="9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b/>
                <w:b/>
                <w:bCs/>
              </w:rPr>
            </w:pPr>
            <w:r>
              <w:rPr>
                <w:b/>
                <w:bCs/>
              </w:rPr>
              <w:t>2014</w:t>
            </w:r>
          </w:p>
        </w:tc>
        <w:tc>
          <w:tcPr>
            <w:tcW w:w="9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b/>
                <w:b/>
                <w:bCs/>
              </w:rPr>
            </w:pPr>
            <w:r>
              <w:rPr>
                <w:b/>
                <w:bCs/>
              </w:rPr>
              <w:t>2015</w:t>
            </w:r>
          </w:p>
        </w:tc>
        <w:tc>
          <w:tcPr>
            <w:tcW w:w="135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jc w:val="center"/>
              <w:rPr>
                <w:b/>
                <w:b/>
                <w:bCs/>
              </w:rPr>
            </w:pPr>
            <w:r>
              <w:rPr>
                <w:b/>
                <w:bCs/>
              </w:rPr>
              <w:t>Динамика, %</w:t>
            </w:r>
          </w:p>
        </w:tc>
      </w:tr>
      <w:tr>
        <w:trPr>
          <w:trHeight w:val="390" w:hRule="atLeast"/>
        </w:trPr>
        <w:tc>
          <w:tcPr>
            <w:tcW w:w="472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rPr/>
            </w:pPr>
            <w:r>
              <w:rPr/>
              <w:t>Число малых предприятий</w:t>
            </w:r>
          </w:p>
        </w:tc>
        <w:tc>
          <w:tcPr>
            <w:tcW w:w="11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2"/>
              <w:jc w:val="center"/>
              <w:rPr/>
            </w:pPr>
            <w:r>
              <w:rPr/>
              <w:t>единиц</w:t>
            </w:r>
          </w:p>
        </w:tc>
        <w:tc>
          <w:tcPr>
            <w:tcW w:w="9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52</w:t>
            </w:r>
          </w:p>
        </w:tc>
        <w:tc>
          <w:tcPr>
            <w:tcW w:w="9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52</w:t>
            </w:r>
          </w:p>
        </w:tc>
        <w:tc>
          <w:tcPr>
            <w:tcW w:w="135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jc w:val="center"/>
              <w:rPr/>
            </w:pPr>
            <w:r>
              <w:rPr/>
              <w:t>100</w:t>
            </w:r>
          </w:p>
        </w:tc>
      </w:tr>
      <w:tr>
        <w:trPr>
          <w:trHeight w:val="398" w:hRule="atLeast"/>
        </w:trPr>
        <w:tc>
          <w:tcPr>
            <w:tcW w:w="472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rPr/>
            </w:pPr>
            <w:r>
              <w:rPr/>
              <w:t xml:space="preserve">Число индивидуальных предпринимателей </w:t>
            </w:r>
          </w:p>
        </w:tc>
        <w:tc>
          <w:tcPr>
            <w:tcW w:w="11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2"/>
              <w:jc w:val="center"/>
              <w:rPr/>
            </w:pPr>
            <w:r>
              <w:rPr/>
              <w:t>человек</w:t>
            </w:r>
          </w:p>
        </w:tc>
        <w:tc>
          <w:tcPr>
            <w:tcW w:w="9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442</w:t>
            </w:r>
          </w:p>
        </w:tc>
        <w:tc>
          <w:tcPr>
            <w:tcW w:w="9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439</w:t>
            </w:r>
          </w:p>
        </w:tc>
        <w:tc>
          <w:tcPr>
            <w:tcW w:w="135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99,3</w:t>
            </w:r>
          </w:p>
        </w:tc>
      </w:tr>
      <w:tr>
        <w:trPr>
          <w:trHeight w:val="435" w:hRule="atLeast"/>
        </w:trPr>
        <w:tc>
          <w:tcPr>
            <w:tcW w:w="472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rPr/>
            </w:pPr>
            <w:r>
              <w:rPr/>
              <w:t>Выручка от реализации продукции, работ, услуг</w:t>
            </w:r>
          </w:p>
        </w:tc>
        <w:tc>
          <w:tcPr>
            <w:tcW w:w="11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2"/>
              <w:jc w:val="center"/>
              <w:rPr/>
            </w:pPr>
            <w:r>
              <w:rPr/>
              <w:t>млн. руб.</w:t>
            </w:r>
          </w:p>
        </w:tc>
        <w:tc>
          <w:tcPr>
            <w:tcW w:w="9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505,6</w:t>
            </w:r>
          </w:p>
        </w:tc>
        <w:tc>
          <w:tcPr>
            <w:tcW w:w="9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511,6</w:t>
            </w:r>
          </w:p>
        </w:tc>
        <w:tc>
          <w:tcPr>
            <w:tcW w:w="135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Spacing"/>
              <w:jc w:val="center"/>
              <w:rPr>
                <w:rFonts w:ascii="Times New Roman" w:hAnsi="Times New Roman"/>
                <w:sz w:val="24"/>
                <w:szCs w:val="24"/>
              </w:rPr>
            </w:pPr>
            <w:r>
              <w:rPr>
                <w:rFonts w:ascii="Times New Roman" w:hAnsi="Times New Roman"/>
                <w:sz w:val="24"/>
                <w:szCs w:val="24"/>
              </w:rPr>
              <w:t>101,2</w:t>
            </w:r>
          </w:p>
        </w:tc>
      </w:tr>
      <w:tr>
        <w:trPr>
          <w:trHeight w:val="435" w:hRule="atLeast"/>
        </w:trPr>
        <w:tc>
          <w:tcPr>
            <w:tcW w:w="472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rPr/>
            </w:pPr>
            <w:r>
              <w:rPr/>
              <w:t xml:space="preserve">Численность работающих </w:t>
            </w:r>
          </w:p>
        </w:tc>
        <w:tc>
          <w:tcPr>
            <w:tcW w:w="11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2"/>
              <w:jc w:val="center"/>
              <w:rPr/>
            </w:pPr>
            <w:r>
              <w:rPr/>
              <w:t>человек</w:t>
            </w:r>
          </w:p>
        </w:tc>
        <w:tc>
          <w:tcPr>
            <w:tcW w:w="9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1803</w:t>
            </w:r>
          </w:p>
        </w:tc>
        <w:tc>
          <w:tcPr>
            <w:tcW w:w="9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1811</w:t>
            </w:r>
          </w:p>
        </w:tc>
        <w:tc>
          <w:tcPr>
            <w:tcW w:w="135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Spacing"/>
              <w:jc w:val="center"/>
              <w:rPr>
                <w:rFonts w:ascii="Times New Roman" w:hAnsi="Times New Roman"/>
                <w:sz w:val="24"/>
                <w:szCs w:val="24"/>
              </w:rPr>
            </w:pPr>
            <w:r>
              <w:rPr>
                <w:rFonts w:ascii="Times New Roman" w:hAnsi="Times New Roman"/>
                <w:sz w:val="24"/>
                <w:szCs w:val="24"/>
              </w:rPr>
              <w:t>100,5</w:t>
            </w:r>
          </w:p>
        </w:tc>
      </w:tr>
      <w:tr>
        <w:trPr>
          <w:trHeight w:val="390" w:hRule="atLeast"/>
        </w:trPr>
        <w:tc>
          <w:tcPr>
            <w:tcW w:w="472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rPr/>
            </w:pPr>
            <w:r>
              <w:rPr/>
              <w:t xml:space="preserve">Среднемесячная зарплата </w:t>
            </w:r>
          </w:p>
        </w:tc>
        <w:tc>
          <w:tcPr>
            <w:tcW w:w="11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2"/>
              <w:jc w:val="center"/>
              <w:rPr/>
            </w:pPr>
            <w:r>
              <w:rPr/>
              <w:t>руб.</w:t>
            </w:r>
          </w:p>
        </w:tc>
        <w:tc>
          <w:tcPr>
            <w:tcW w:w="9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8710</w:t>
            </w:r>
          </w:p>
        </w:tc>
        <w:tc>
          <w:tcPr>
            <w:tcW w:w="9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8950</w:t>
            </w:r>
          </w:p>
        </w:tc>
        <w:tc>
          <w:tcPr>
            <w:tcW w:w="135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Spacing"/>
              <w:jc w:val="center"/>
              <w:rPr>
                <w:rFonts w:ascii="Times New Roman" w:hAnsi="Times New Roman"/>
                <w:sz w:val="24"/>
                <w:szCs w:val="24"/>
              </w:rPr>
            </w:pPr>
            <w:r>
              <w:rPr>
                <w:rFonts w:ascii="Times New Roman" w:hAnsi="Times New Roman"/>
                <w:sz w:val="24"/>
                <w:szCs w:val="24"/>
              </w:rPr>
              <w:t>102,8</w:t>
            </w:r>
          </w:p>
        </w:tc>
      </w:tr>
    </w:tbl>
    <w:p>
      <w:pPr>
        <w:pStyle w:val="Normal"/>
        <w:ind w:firstLine="840"/>
        <w:jc w:val="both"/>
        <w:rPr>
          <w:lang w:val="en-US"/>
        </w:rPr>
      </w:pPr>
      <w:r>
        <w:rPr>
          <w:lang w:val="en-US"/>
        </w:rPr>
      </w:r>
    </w:p>
    <w:p>
      <w:pPr>
        <w:pStyle w:val="Normal"/>
        <w:ind w:firstLine="540"/>
        <w:jc w:val="both"/>
        <w:rPr/>
      </w:pPr>
      <w:r>
        <w:rPr/>
        <w:t>Распределение малых предприятий по секторам экономики выглядит следующим образом:</w:t>
      </w:r>
    </w:p>
    <w:p>
      <w:pPr>
        <w:pStyle w:val="Normal"/>
        <w:ind w:firstLine="720"/>
        <w:jc w:val="center"/>
        <w:rPr/>
      </w:pPr>
      <w:r>
        <w:rPr>
          <w:i/>
        </w:rPr>
        <w:t>Структура малых организаций по видам деятельности</w:t>
      </w:r>
    </w:p>
    <w:tbl>
      <w:tblPr>
        <w:tblW w:w="6993" w:type="dxa"/>
        <w:jc w:val="left"/>
        <w:tblInd w:w="162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1e0"/>
      </w:tblPr>
      <w:tblGrid>
        <w:gridCol w:w="5011"/>
        <w:gridCol w:w="1981"/>
      </w:tblGrid>
      <w:tr>
        <w:trPr>
          <w:tblHeader w:val="true"/>
          <w:trHeight w:val="385" w:hRule="atLeast"/>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Виды деятельности</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Доля в общем объеме %</w:t>
            </w:r>
          </w:p>
        </w:tc>
      </w:tr>
      <w:tr>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Сельское хозяйство</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48,1</w:t>
            </w:r>
          </w:p>
        </w:tc>
      </w:tr>
      <w:tr>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Добыча полезных ископаемых</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0,2</w:t>
            </w:r>
          </w:p>
        </w:tc>
      </w:tr>
      <w:tr>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Обрабатывающее производство</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2,5</w:t>
            </w:r>
          </w:p>
        </w:tc>
      </w:tr>
      <w:tr>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Торговля и услуги</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32,7</w:t>
            </w:r>
          </w:p>
        </w:tc>
      </w:tr>
      <w:tr>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Строительство</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1,0</w:t>
            </w:r>
          </w:p>
        </w:tc>
      </w:tr>
      <w:tr>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Прочие</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15,5</w:t>
            </w:r>
          </w:p>
        </w:tc>
      </w:tr>
      <w:tr>
        <w:trPr>
          <w:trHeight w:val="226" w:hRule="atLeast"/>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ВСЕГО</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100</w:t>
            </w:r>
          </w:p>
        </w:tc>
      </w:tr>
    </w:tbl>
    <w:p>
      <w:pPr>
        <w:pStyle w:val="Normal"/>
        <w:shd w:val="clear" w:color="auto" w:fill="FFFFFF"/>
        <w:spacing w:lineRule="atLeast" w:line="312"/>
        <w:ind w:firstLine="540"/>
        <w:jc w:val="both"/>
        <w:rPr/>
      </w:pPr>
      <w:r>
        <w:rPr/>
        <w:t xml:space="preserve"> </w:t>
      </w:r>
    </w:p>
    <w:p>
      <w:pPr>
        <w:pStyle w:val="Normal"/>
        <w:shd w:val="clear" w:color="auto" w:fill="FFFFFF"/>
        <w:spacing w:lineRule="atLeast" w:line="312"/>
        <w:ind w:firstLine="540"/>
        <w:jc w:val="both"/>
        <w:rPr/>
      </w:pPr>
      <w:r>
        <w:rPr>
          <w:color w:val="000000"/>
        </w:rPr>
        <w:t xml:space="preserve">В настоящее время на малых предприятиях занято  до 30 % от общей численности занятых в экономике района. </w:t>
      </w:r>
    </w:p>
    <w:p>
      <w:pPr>
        <w:pStyle w:val="Normal"/>
        <w:ind w:firstLine="709"/>
        <w:jc w:val="both"/>
        <w:rPr/>
      </w:pPr>
      <w:r>
        <w:rPr/>
      </w:r>
    </w:p>
    <w:p>
      <w:pPr>
        <w:pStyle w:val="Normal"/>
        <w:ind w:firstLine="709"/>
        <w:jc w:val="both"/>
        <w:rPr>
          <w:b/>
          <w:b/>
          <w:i/>
          <w:i/>
        </w:rPr>
      </w:pPr>
      <w:r>
        <w:rPr>
          <w:b/>
          <w:i/>
        </w:rPr>
        <w:t>Инвестиционная деятельность</w:t>
      </w:r>
    </w:p>
    <w:p>
      <w:pPr>
        <w:pStyle w:val="Normal"/>
        <w:ind w:firstLine="708"/>
        <w:jc w:val="both"/>
        <w:rPr/>
      </w:pPr>
      <w:r>
        <w:rPr/>
        <w:t>Объем инвестиций  в экономику района в 2015 году    составил   267,1 млн. рублей. Источниками инвестиций  являются  собственные средства граждан,  бюджетные средства, средства предприятий и кредиты банков. Введены в эксплуатацию:</w:t>
      </w:r>
    </w:p>
    <w:p>
      <w:pPr>
        <w:pStyle w:val="Normal"/>
        <w:ind w:left="-142" w:hanging="0"/>
        <w:jc w:val="both"/>
        <w:rPr/>
      </w:pPr>
      <w:r>
        <w:rPr/>
        <w:t xml:space="preserve"> </w:t>
      </w:r>
      <w:r>
        <w:rPr/>
        <w:tab/>
        <w:tab/>
        <w:t xml:space="preserve">-13 жилых домов, общей площадью  1288,7  кв. м.,   дома построены на собственные средства индивидуальных застройщиков; </w:t>
      </w:r>
    </w:p>
    <w:p>
      <w:pPr>
        <w:pStyle w:val="Normal"/>
        <w:ind w:left="-142" w:hanging="0"/>
        <w:jc w:val="both"/>
        <w:rPr/>
      </w:pPr>
      <w:r>
        <w:rPr/>
        <w:tab/>
        <w:tab/>
        <w:t>- 31 жилой дом по программе "Устойчивое развитие сельских территорий", площадь 3094,1 кв. м.;</w:t>
      </w:r>
    </w:p>
    <w:p>
      <w:pPr>
        <w:pStyle w:val="Normal"/>
        <w:ind w:left="-142" w:hanging="0"/>
        <w:jc w:val="both"/>
        <w:rPr/>
      </w:pPr>
      <w:r>
        <w:rPr/>
        <w:tab/>
        <w:tab/>
        <w:t>- 14 жилых домов по программе "Переселение граждан из ветхого и аварийного жилья", площадь 1175 кв. м.;</w:t>
      </w:r>
    </w:p>
    <w:p>
      <w:pPr>
        <w:pStyle w:val="Normal"/>
        <w:ind w:left="-142" w:firstLine="850"/>
        <w:jc w:val="both"/>
        <w:rPr/>
      </w:pPr>
      <w:r>
        <w:rPr/>
        <w:t>- 10  магазинов  площадью 2105,2 кв. м.;</w:t>
      </w:r>
    </w:p>
    <w:p>
      <w:pPr>
        <w:pStyle w:val="Normal"/>
        <w:ind w:left="-142" w:firstLine="850"/>
        <w:jc w:val="both"/>
        <w:rPr/>
      </w:pPr>
      <w:r>
        <w:rPr/>
        <w:t>- 1 пекарня  площадью 122,4 м.кв.;</w:t>
      </w:r>
    </w:p>
    <w:p>
      <w:pPr>
        <w:pStyle w:val="Normal"/>
        <w:ind w:left="-142" w:firstLine="850"/>
        <w:jc w:val="both"/>
        <w:rPr/>
      </w:pPr>
      <w:r>
        <w:rPr/>
        <w:t>- 2 здания сельхозназначения 1985,2 м.кв.;</w:t>
      </w:r>
    </w:p>
    <w:p>
      <w:pPr>
        <w:pStyle w:val="Normal"/>
        <w:ind w:left="-142" w:firstLine="850"/>
        <w:jc w:val="both"/>
        <w:rPr/>
      </w:pPr>
      <w:r>
        <w:rPr/>
        <w:t>- 8 водонапорных башен.</w:t>
      </w:r>
    </w:p>
    <w:p>
      <w:pPr>
        <w:pStyle w:val="Normal"/>
        <w:ind w:firstLine="708"/>
        <w:jc w:val="both"/>
        <w:rPr/>
      </w:pPr>
      <w:r>
        <w:rPr/>
        <w:t>Продолжается строительство центральной районной больницы на 200 посещений в день. Планируемый ввод объекта в 2017 году.</w:t>
      </w:r>
    </w:p>
    <w:p>
      <w:pPr>
        <w:pStyle w:val="Normal"/>
        <w:ind w:firstLine="709"/>
        <w:jc w:val="both"/>
        <w:rPr>
          <w:b/>
          <w:b/>
          <w:i/>
          <w:i/>
        </w:rPr>
      </w:pPr>
      <w:r>
        <w:rPr>
          <w:b/>
          <w:i/>
        </w:rPr>
      </w:r>
    </w:p>
    <w:p>
      <w:pPr>
        <w:pStyle w:val="Normal"/>
        <w:ind w:firstLine="708"/>
        <w:jc w:val="both"/>
        <w:rPr>
          <w:b/>
          <w:b/>
          <w:i/>
          <w:i/>
        </w:rPr>
      </w:pPr>
      <w:r>
        <w:rPr>
          <w:b/>
          <w:i/>
        </w:rPr>
        <w:t>Социальная сфера</w:t>
      </w:r>
    </w:p>
    <w:p>
      <w:pPr>
        <w:pStyle w:val="Normal"/>
        <w:ind w:firstLine="708"/>
        <w:jc w:val="both"/>
        <w:rPr/>
      </w:pPr>
      <w:r>
        <w:rPr/>
        <w:t xml:space="preserve"> </w:t>
      </w:r>
      <w:r>
        <w:rPr/>
        <w:t xml:space="preserve">По данным Управления министерства социального развития, опеки и попечительства Иркутской области  по Боханскому району на территории МО «Боханский район в районе   проживают 10 инвалидов ВОВ, 75 членов семей  участников ВОВ и ВБД, 1690 инвалидов общего заболевания,  177 детей-инвалидов, 13  реабилитированных,  1 участник ликвидации ПО «Маяк», 1 участник Чернобыльской АЭС, 103 труженика тыла, 968 ветеранов труда, персональных пенсионеров 5, дети войны 223 человека, 2 почетных донора, 2 почетных гражданина. Количество детей, имеющих право получать ежемесячное пособие – 6209. </w:t>
      </w:r>
    </w:p>
    <w:p>
      <w:pPr>
        <w:pStyle w:val="Normal"/>
        <w:ind w:firstLine="709"/>
        <w:jc w:val="both"/>
        <w:rPr/>
      </w:pPr>
      <w:r>
        <w:rPr/>
        <w:t>На учете состоит  855 многодетных семьи (2955 детей),  и 26 социально-опасных семей. Социальные работников отделения социального обслуживания на дому  в количестве 20 человек обслуживают 77 одиноких и престарелых людей.</w:t>
      </w:r>
    </w:p>
    <w:p>
      <w:pPr>
        <w:pStyle w:val="Normal"/>
        <w:ind w:firstLine="709"/>
        <w:jc w:val="both"/>
        <w:rPr/>
      </w:pPr>
      <w:r>
        <w:rPr/>
        <w:t xml:space="preserve">Меры социальной поддержки получают  медицинские, педагогические, социальные  работники,  работники культуры, специалисты ветеринарии. </w:t>
      </w:r>
    </w:p>
    <w:p>
      <w:pPr>
        <w:pStyle w:val="Normal"/>
        <w:ind w:firstLine="708"/>
        <w:jc w:val="both"/>
        <w:rPr/>
      </w:pPr>
      <w:r>
        <w:rPr/>
        <w:t>На реализацию полномочий управления выделено  из федерального и областного бюджетов  в 2015 году 166,5 млн. руб.</w:t>
      </w:r>
    </w:p>
    <w:p>
      <w:pPr>
        <w:pStyle w:val="Normal"/>
        <w:ind w:firstLine="708"/>
        <w:jc w:val="both"/>
        <w:rPr>
          <w:i/>
          <w:i/>
        </w:rPr>
      </w:pPr>
      <w:r>
        <w:rPr>
          <w:i/>
        </w:rPr>
      </w:r>
    </w:p>
    <w:p>
      <w:pPr>
        <w:pStyle w:val="Normal"/>
        <w:ind w:firstLine="708"/>
        <w:jc w:val="both"/>
        <w:rPr>
          <w:b/>
          <w:b/>
        </w:rPr>
      </w:pPr>
      <w:r>
        <w:rPr>
          <w:b/>
          <w:i/>
        </w:rPr>
        <w:t>Здравоохранение.</w:t>
      </w:r>
      <w:r>
        <w:rPr>
          <w:b/>
        </w:rPr>
        <w:t xml:space="preserve"> </w:t>
      </w:r>
    </w:p>
    <w:p>
      <w:pPr>
        <w:pStyle w:val="Normal"/>
        <w:ind w:firstLine="708"/>
        <w:jc w:val="both"/>
        <w:rPr>
          <w:color w:val="000000"/>
        </w:rPr>
      </w:pPr>
      <w:r>
        <w:rPr>
          <w:color w:val="000000"/>
        </w:rPr>
        <w:t xml:space="preserve">Система здравоохранения Боханского района представлена  районной больницей (102 койки дневного пребывания и 18 коек дневного пребывания), 4 участковых больницы с коечным фондом – 50  коек круглосуточного пребывания, 3 врачебных амбулатории, 25фельдшерско-акушерских пункта.  Данные подразделения оказывают первичную медицинскую помощь, плановую квалифицированную и специализированную врачебную помощь по всем основным специальностям, а также неотложную и экстренную помощь. </w:t>
      </w:r>
    </w:p>
    <w:p>
      <w:pPr>
        <w:pStyle w:val="Normal"/>
        <w:tabs>
          <w:tab w:val="left" w:pos="6330" w:leader="none"/>
        </w:tabs>
        <w:jc w:val="both"/>
        <w:rPr/>
      </w:pPr>
      <w:r>
        <w:rPr>
          <w:color w:val="000000"/>
        </w:rPr>
        <w:t xml:space="preserve">       </w:t>
      </w:r>
      <w:r>
        <w:rPr/>
        <w:t>Показатель обеспеченности врачебными кадрами в районе один из самых низких в области и составляет 17,64 на 10 тыс. населения, средним медицинским персоналом – 65,6 на 10 тыс. населения</w:t>
      </w:r>
      <w:r>
        <w:rPr>
          <w:color w:val="000000"/>
        </w:rPr>
        <w:t>.</w:t>
      </w:r>
      <w:r>
        <w:rPr/>
        <w:t xml:space="preserve">  </w:t>
      </w:r>
    </w:p>
    <w:p>
      <w:pPr>
        <w:pStyle w:val="Normal"/>
        <w:jc w:val="both"/>
        <w:rPr/>
      </w:pPr>
      <w:r>
        <w:rPr/>
        <w:tab/>
        <w:t xml:space="preserve"> По Всероссийскому проекту «Земский доктор" в 2015 году сертификаты получили 4  врача  по специальностям врач-терапевт - 2 человека, врач-педиатр - 2 человека. </w:t>
      </w:r>
    </w:p>
    <w:p>
      <w:pPr>
        <w:pStyle w:val="Normal"/>
        <w:jc w:val="both"/>
        <w:rPr>
          <w:b/>
          <w:b/>
          <w:i/>
          <w:i/>
        </w:rPr>
      </w:pPr>
      <w:r>
        <w:rPr/>
        <w:tab/>
        <w:t xml:space="preserve">Диспансеризация определенных групп взрослого населения составила в отчетном году 61,8%, детского населения 100%. </w:t>
        <w:tab/>
        <w:t>Число заболеваний, зарегистрированных у больных с впервые установленным диагнозом 23134 случаев.</w:t>
      </w:r>
    </w:p>
    <w:p>
      <w:pPr>
        <w:pStyle w:val="Normal"/>
        <w:ind w:firstLine="709"/>
        <w:jc w:val="both"/>
        <w:rPr>
          <w:b/>
          <w:b/>
          <w:i/>
          <w:i/>
        </w:rPr>
      </w:pPr>
      <w:r>
        <w:rPr>
          <w:b/>
          <w:i/>
        </w:rPr>
      </w:r>
    </w:p>
    <w:p>
      <w:pPr>
        <w:pStyle w:val="Normal"/>
        <w:ind w:firstLine="709"/>
        <w:jc w:val="both"/>
        <w:rPr>
          <w:b/>
          <w:b/>
          <w:i/>
          <w:i/>
        </w:rPr>
      </w:pPr>
      <w:r>
        <w:rPr>
          <w:b/>
          <w:i/>
        </w:rPr>
        <w:t xml:space="preserve">Образование. </w:t>
      </w:r>
    </w:p>
    <w:p>
      <w:pPr>
        <w:pStyle w:val="Normal"/>
        <w:ind w:firstLine="708"/>
        <w:jc w:val="both"/>
        <w:rPr/>
      </w:pPr>
      <w:r>
        <w:rPr/>
        <w:t xml:space="preserve">По состоянию на 01.01.2015 г. в районе функционируют 16 дошкольных образовательных учреждения, 14 средних образовательных школ, 2 основные образовательные школы, 3 начальные школы-детские сады,  2 учреждения дополнительного образования, 1 загородный оздоровительный лагерь.  Сеть образовательных учреждений района также представляют   ГБПОУ "Боханский аграрный техникум"(83 студента), ОГБОУ СПО      «Боханский педагогический колледж им. Д. Банзарова» (246 студентов), ФГБОУ ВПО  Боханский филиал Бурятского государственного университета (74 студента). </w:t>
      </w:r>
    </w:p>
    <w:p>
      <w:pPr>
        <w:pStyle w:val="Normal"/>
        <w:ind w:firstLine="567"/>
        <w:jc w:val="both"/>
        <w:rPr/>
      </w:pPr>
      <w:r>
        <w:rPr/>
        <w:t>Охват дошкольным образованием по району составляет 43%. По окончанию строительства нового детского сада в с.Хохорск   дополнительно откроются места для 55 детей.</w:t>
      </w:r>
    </w:p>
    <w:p>
      <w:pPr>
        <w:pStyle w:val="Normal"/>
        <w:tabs>
          <w:tab w:val="left" w:pos="600" w:leader="none"/>
        </w:tabs>
        <w:jc w:val="both"/>
        <w:rPr/>
      </w:pPr>
      <w:r>
        <w:rPr/>
        <w:tab/>
        <w:t>В 2015-2016 учебном  году  в  школах района обучаются 3514 детей в 247 классах-комплектах, обучающихся во вторую смену 262 человека.  Успеваемость в 2015 году составила 98,3%, участниками ЕГЭ стали 147 учеников, в том числе 14 выпускников прошлых лет.</w:t>
      </w:r>
    </w:p>
    <w:p>
      <w:pPr>
        <w:pStyle w:val="Normal"/>
        <w:tabs>
          <w:tab w:val="left" w:pos="567" w:leader="none"/>
        </w:tabs>
        <w:suppressAutoHyphens w:val="true"/>
        <w:jc w:val="both"/>
        <w:rPr/>
      </w:pPr>
      <w:r>
        <w:rPr>
          <w:sz w:val="28"/>
          <w:szCs w:val="28"/>
        </w:rPr>
        <w:tab/>
      </w:r>
      <w:r>
        <w:rPr/>
        <w:t xml:space="preserve"> Горячим питанием охвачено  97,5%. Питание осуществляется за счет родительской платы, бюджетных средств и продукции с пришкольных  участков. </w:t>
      </w:r>
    </w:p>
    <w:p>
      <w:pPr>
        <w:pStyle w:val="Normal"/>
        <w:ind w:firstLine="708"/>
        <w:jc w:val="both"/>
        <w:rPr/>
      </w:pPr>
      <w:r>
        <w:rPr/>
        <w:t xml:space="preserve">В муниципальном образовании «Боханский район» ежедневный подвоз обучающихся осуществляется из 43 населенных пунктов, всего 558 обучающихся (15,9% от общего контингента школьников). Количество школьных автобусов,  осуществляющих  подвоз  обучающихся,  27 единиц. Финансирование подвоза осуществляется в полном объеме за счет средств муниципального бюджета в рамках муниципальной целевой программы «Организация подвоза учащихся в образовательные учреждения муниципального образования «Боханский район». </w:t>
      </w:r>
    </w:p>
    <w:p>
      <w:pPr>
        <w:pStyle w:val="Normal"/>
        <w:ind w:firstLine="567"/>
        <w:jc w:val="both"/>
        <w:rPr/>
      </w:pPr>
      <w:r>
        <w:rPr/>
        <w:t>В Боханском районе работают 2 учреждения дополнительного образования детей: Дом детского творчества и  Детско-юношеская спортивная школа. Охват школьников дополнительным образованием составляет 58 % от общего количества школьников.</w:t>
      </w:r>
    </w:p>
    <w:p>
      <w:pPr>
        <w:pStyle w:val="Normal"/>
        <w:ind w:firstLine="567"/>
        <w:jc w:val="both"/>
        <w:rPr/>
      </w:pPr>
      <w:r>
        <w:rPr/>
        <w:t>На территории района расположено 72 различных спортивных сооружений, из них 40 плоскостных сооружения, 22 спортивных залов,  8 футбольных полей, 1 тир.</w:t>
      </w:r>
    </w:p>
    <w:p>
      <w:pPr>
        <w:pStyle w:val="NoSpacing"/>
        <w:ind w:firstLine="709"/>
        <w:jc w:val="both"/>
        <w:rPr>
          <w:rFonts w:ascii="Times New Roman" w:hAnsi="Times New Roman"/>
          <w:sz w:val="24"/>
          <w:szCs w:val="24"/>
        </w:rPr>
      </w:pPr>
      <w:r>
        <w:rPr>
          <w:rFonts w:ascii="Times New Roman" w:hAnsi="Times New Roman"/>
          <w:sz w:val="24"/>
          <w:szCs w:val="24"/>
        </w:rPr>
        <w:t xml:space="preserve">В 2015 году количество систематически занимающихся спортом и физической культурой составило 4591 человек, что составило 18,4% от общей численности населения Боханского района. </w:t>
      </w:r>
    </w:p>
    <w:p>
      <w:pPr>
        <w:pStyle w:val="Normal"/>
        <w:ind w:firstLine="709"/>
        <w:jc w:val="both"/>
        <w:rPr>
          <w:b/>
          <w:b/>
          <w:i/>
          <w:i/>
          <w:sz w:val="28"/>
          <w:szCs w:val="28"/>
        </w:rPr>
      </w:pPr>
      <w:r>
        <w:rPr>
          <w:b/>
          <w:i/>
          <w:sz w:val="28"/>
          <w:szCs w:val="28"/>
        </w:rPr>
      </w:r>
    </w:p>
    <w:p>
      <w:pPr>
        <w:pStyle w:val="Normal"/>
        <w:ind w:firstLine="708"/>
        <w:jc w:val="both"/>
        <w:rPr/>
      </w:pPr>
      <w:r>
        <w:rPr>
          <w:b/>
          <w:i/>
        </w:rPr>
        <w:t>Культура.</w:t>
      </w:r>
      <w:r>
        <w:rPr/>
        <w:t xml:space="preserve"> </w:t>
      </w:r>
    </w:p>
    <w:p>
      <w:pPr>
        <w:pStyle w:val="Normal"/>
        <w:ind w:firstLine="708"/>
        <w:jc w:val="both"/>
        <w:rPr/>
      </w:pPr>
      <w:r>
        <w:rPr/>
        <w:t>Сфера культуры в районе  состоит из 13 муниципальных бюджетных  учреждений культуры «Социально-культурные центры» со статусом юридического лица, которые объединили 29 культурно-досуговых учреждений (КЦД, СДК, СК), 24 филиала библиотек. Созданы учреждения  межпоселенческого уровня: «Межпоселенческое клубное объединение», «Межпоселенческая библиотека», «Боханская детская школа искусств» со статусом юридического</w:t>
      </w:r>
      <w:r>
        <w:rPr>
          <w:sz w:val="28"/>
          <w:szCs w:val="28"/>
        </w:rPr>
        <w:t xml:space="preserve"> </w:t>
      </w:r>
      <w:r>
        <w:rPr/>
        <w:t>лица, которые выполняют координационные функции, оказывают методическую помощь учреждениям культуры поселений, проводят мероприятия различного уровня.</w:t>
      </w:r>
    </w:p>
    <w:p>
      <w:pPr>
        <w:pStyle w:val="Normal"/>
        <w:ind w:firstLine="708"/>
        <w:jc w:val="both"/>
        <w:rPr/>
      </w:pPr>
      <w:r>
        <w:rPr/>
        <w:t>Средства  программы «Социально-экономическое развитие сферы культуры  МО «Боханский район» на 2015-2018 годы»</w:t>
      </w:r>
      <w:r>
        <w:rPr>
          <w:i/>
        </w:rPr>
        <w:t xml:space="preserve"> </w:t>
      </w:r>
      <w:r>
        <w:rPr/>
        <w:t xml:space="preserve"> ушли на   расходы по участию в различных фестивалях и конкурсах, региональных и областных мероприятиях, проведение культурно-массовых мероприятий, проведение ремонтов, приобретение оборудования, оргтехники и т.д.  </w:t>
      </w:r>
    </w:p>
    <w:p>
      <w:pPr>
        <w:pStyle w:val="Normal"/>
        <w:jc w:val="both"/>
        <w:rPr/>
      </w:pPr>
      <w:r>
        <w:rPr/>
        <w:t xml:space="preserve"> </w:t>
      </w:r>
      <w:r>
        <w:rPr/>
        <w:tab/>
        <w:t xml:space="preserve">2015 год Указом Президента Российской Федерации был объявлен "Годом библиотек" в Российской  Федерации. </w:t>
      </w:r>
    </w:p>
    <w:p>
      <w:pPr>
        <w:pStyle w:val="Normal"/>
        <w:jc w:val="both"/>
        <w:rPr/>
      </w:pPr>
      <w:r>
        <w:rPr/>
        <w:tab/>
        <w:t xml:space="preserve">В стадии реализации  муниципальный проект «Венок дружбы» по историко-культурным местам муниципального образования «Боханский район.  Туристический маршрут рассчитан на 1 день, в него входит посещение  населенных пунктов: с. Александровское, посещение памятника Александровский централ, с. Олонки  посещение и осмотр Дома-музея В.Ф.Раевского, п.Бохан, посещение дома И.И.Пирожкова, священной горы «Шаманка», музея «Юрта». </w:t>
      </w:r>
    </w:p>
    <w:p>
      <w:pPr>
        <w:pStyle w:val="Normal"/>
        <w:ind w:firstLine="709"/>
        <w:jc w:val="both"/>
        <w:rPr>
          <w:b/>
          <w:b/>
          <w:i/>
          <w:i/>
        </w:rPr>
      </w:pPr>
      <w:r>
        <w:rPr>
          <w:b/>
          <w:i/>
        </w:rPr>
        <w:t>Финансы</w:t>
      </w:r>
    </w:p>
    <w:p>
      <w:pPr>
        <w:pStyle w:val="Normal"/>
        <w:ind w:firstLine="709"/>
        <w:jc w:val="both"/>
        <w:rPr/>
      </w:pPr>
      <w:r>
        <w:rPr/>
        <w:t>Поступило налогов и сборов в консолидированный бюджет района в    2015 году  111,4  млн. руб. или  97,3 % от  годового плана,  и  увеличение  на 108,1 % к уровню прошлого года.</w:t>
      </w:r>
    </w:p>
    <w:p>
      <w:pPr>
        <w:pStyle w:val="Normal"/>
        <w:ind w:firstLine="709"/>
        <w:jc w:val="both"/>
        <w:rPr/>
      </w:pPr>
      <w:r>
        <w:rPr/>
        <w:t>Основная доля поступлений в консолидированный  бюджет МО «Боханский район» приходится на налог с доходов физических лиц и налога на совокупный доход. Налог на доходы с физических лиц составляет 46,2 %, налог  на совокупный доход 8,2 % от общей суммы доходов.</w:t>
      </w:r>
    </w:p>
    <w:p>
      <w:pPr>
        <w:pStyle w:val="Normal"/>
        <w:ind w:firstLine="709"/>
        <w:jc w:val="both"/>
        <w:rPr/>
      </w:pPr>
      <w:r>
        <w:rPr/>
      </w:r>
    </w:p>
    <w:p>
      <w:pPr>
        <w:pStyle w:val="5"/>
        <w:jc w:val="both"/>
        <w:rPr>
          <w:i/>
          <w:i/>
          <w:sz w:val="20"/>
          <w:szCs w:val="20"/>
        </w:rPr>
      </w:pPr>
      <w:r>
        <w:rPr>
          <w:i/>
          <w:sz w:val="24"/>
        </w:rPr>
        <w:t xml:space="preserve">           </w:t>
      </w:r>
      <w:r>
        <w:rPr>
          <w:i/>
          <w:sz w:val="20"/>
          <w:szCs w:val="20"/>
        </w:rPr>
        <w:t>Уровень жизни населения</w:t>
      </w:r>
    </w:p>
    <w:p>
      <w:pPr>
        <w:pStyle w:val="Normal"/>
        <w:ind w:firstLine="709"/>
        <w:jc w:val="both"/>
        <w:rPr>
          <w:spacing w:val="-6"/>
        </w:rPr>
      </w:pPr>
      <w:r>
        <w:rPr/>
        <w:t>Численность населения Боханского района на 01.01.2016 года составляет 24975 человек.</w:t>
      </w:r>
    </w:p>
    <w:p>
      <w:pPr>
        <w:pStyle w:val="Normal"/>
        <w:ind w:firstLine="709"/>
        <w:jc w:val="both"/>
        <w:rPr/>
      </w:pPr>
      <w:r>
        <w:rPr/>
        <w:t>Численность пенсионеров на 1 января 2016 года составляет 6724 человека, в том числе по старости – 4580 человек, по инвалидности 437 человек, по СПК – 370 человек, государственные пенсии 1337 человек. Средний размер  пенсии по старости  10075 руб. Количество работающих пенсионеров 1422 человека.</w:t>
      </w:r>
    </w:p>
    <w:p>
      <w:pPr>
        <w:pStyle w:val="Normal"/>
        <w:ind w:firstLine="709"/>
        <w:jc w:val="both"/>
        <w:rPr>
          <w:spacing w:val="-6"/>
        </w:rPr>
      </w:pPr>
      <w:r>
        <w:rPr/>
        <w:t>Сумма выплаченных пенсий за  2015 год составила 781,8 млн. руб.</w:t>
      </w:r>
    </w:p>
    <w:p>
      <w:pPr>
        <w:pStyle w:val="Normal"/>
        <w:ind w:firstLine="709"/>
        <w:jc w:val="both"/>
        <w:rPr>
          <w:spacing w:val="-6"/>
        </w:rPr>
      </w:pPr>
      <w:r>
        <w:rPr>
          <w:spacing w:val="-6"/>
        </w:rPr>
        <w:t>По данным ОГКУ ЦЗН Боханского района на 1 января 2016  года официальный статус безработного  имеют 217 человек (в 2014 г.- 217). Уровень безработицы  1,4 %, или снижение к уровню прошлого года на 6,7 %.</w:t>
      </w:r>
    </w:p>
    <w:p>
      <w:pPr>
        <w:pStyle w:val="Normal"/>
        <w:ind w:firstLine="709"/>
        <w:jc w:val="both"/>
        <w:rPr>
          <w:spacing w:val="-6"/>
        </w:rPr>
      </w:pPr>
      <w:r>
        <w:rPr>
          <w:spacing w:val="-6"/>
        </w:rPr>
        <w:t xml:space="preserve">За анализируемый период направлено на профессиональное обучение – 36  человек, трудоустроен 131 безработный гражданин. </w:t>
      </w:r>
    </w:p>
    <w:p>
      <w:pPr>
        <w:pStyle w:val="Normal"/>
        <w:ind w:firstLine="709"/>
        <w:jc w:val="both"/>
        <w:rPr>
          <w:spacing w:val="-6"/>
        </w:rPr>
      </w:pPr>
      <w:r>
        <w:rPr>
          <w:spacing w:val="-6"/>
        </w:rPr>
        <w:t>Выплачено пособий по безработице за 2015 год на сумму 8,56 млн. руб.</w:t>
      </w:r>
    </w:p>
    <w:p>
      <w:pPr>
        <w:pStyle w:val="Normal"/>
        <w:ind w:firstLine="540"/>
        <w:jc w:val="both"/>
        <w:rPr>
          <w:i/>
          <w:i/>
        </w:rPr>
      </w:pPr>
      <w:r>
        <w:rPr/>
        <w:t xml:space="preserve">  </w:t>
      </w:r>
      <w:r>
        <w:rPr/>
        <w:t>Предоставлена государственная услуга по содействию самозанятости 7 гражданам.</w:t>
      </w:r>
    </w:p>
    <w:p>
      <w:pPr>
        <w:pStyle w:val="Normal"/>
        <w:ind w:firstLine="709"/>
        <w:jc w:val="both"/>
        <w:rPr>
          <w:spacing w:val="-6"/>
        </w:rPr>
      </w:pPr>
      <w:r>
        <w:rPr>
          <w:spacing w:val="-6"/>
        </w:rPr>
        <w:t xml:space="preserve">В  2015 году  1133 семьи  района получили  субсидии ЖКУ на  сумму 17,9 млн. руб., что на  28,8 % больше уровня прошлого года. </w:t>
      </w:r>
    </w:p>
    <w:p>
      <w:pPr>
        <w:pStyle w:val="Normal"/>
        <w:ind w:firstLine="709"/>
        <w:jc w:val="both"/>
        <w:rPr>
          <w:b/>
          <w:b/>
          <w:color w:val="000000"/>
        </w:rPr>
      </w:pPr>
      <w:r>
        <w:rPr/>
        <w:t xml:space="preserve">Заработная плата является основной частью доходов занятого населения. Фонд оплаты труда в </w:t>
      </w:r>
      <w:r>
        <w:rPr>
          <w:spacing w:val="-6"/>
        </w:rPr>
        <w:t xml:space="preserve">  </w:t>
      </w:r>
      <w:r>
        <w:rPr/>
        <w:t xml:space="preserve">2015 году составила 1105,9  млн. руб., против 1084,2 млн. руб. в  2014 году (102%) .  В  2015 году среднемесячная заработная плата в среднем  по району составила 20160 рублей, произошло незначительное увеличение к уровню прошлого года на 102 %.  По отраслям самая низкая  заработная  плата у работников сельского хозяйства и сферы коммунальных услуг.  </w:t>
      </w:r>
    </w:p>
    <w:p>
      <w:pPr>
        <w:pStyle w:val="Normal"/>
        <w:numPr>
          <w:ilvl w:val="0"/>
          <w:numId w:val="0"/>
        </w:numPr>
        <w:tabs>
          <w:tab w:val="left" w:pos="3544" w:leader="none"/>
        </w:tabs>
        <w:ind w:firstLine="540"/>
        <w:jc w:val="center"/>
        <w:outlineLvl w:val="1"/>
        <w:rPr>
          <w:b/>
          <w:b/>
        </w:rPr>
      </w:pPr>
      <w:r>
        <w:rPr>
          <w:b/>
        </w:rPr>
      </w:r>
    </w:p>
    <w:p>
      <w:pPr>
        <w:pStyle w:val="Normal"/>
        <w:spacing w:beforeAutospacing="1" w:afterAutospacing="1"/>
        <w:ind w:firstLine="567"/>
        <w:contextualSpacing/>
        <w:jc w:val="both"/>
        <w:rPr/>
      </w:pPr>
      <w:r>
        <w:rPr>
          <w:b/>
          <w:bCs/>
        </w:rPr>
        <w:t>Занятость населения</w:t>
      </w:r>
    </w:p>
    <w:p>
      <w:pPr>
        <w:pStyle w:val="Normal"/>
        <w:spacing w:beforeAutospacing="1" w:afterAutospacing="1"/>
        <w:ind w:firstLine="567"/>
        <w:contextualSpacing/>
        <w:jc w:val="both"/>
        <w:rPr/>
      </w:pPr>
      <w:r>
        <w:rPr/>
        <w:t>По данным сводного баланса трудовых ресурсов по Боханскому району на 1января 2016г. численность занятых в экономике составила 5,027 тыс.чел.</w:t>
      </w:r>
    </w:p>
    <w:p>
      <w:pPr>
        <w:pStyle w:val="Normal"/>
        <w:spacing w:beforeAutospacing="1" w:afterAutospacing="1"/>
        <w:ind w:firstLine="567"/>
        <w:contextualSpacing/>
        <w:jc w:val="both"/>
        <w:rPr/>
      </w:pPr>
      <w:r>
        <w:rPr/>
        <w:t>Положение на рынке труда стабильное. Уровень безработицы в Боханском районе по состоянию на 01.01.2016 г. составил 1,45 %. Данный уровень безработицы по-прежнему является одним из самых низких в Иркутской области. Количество вакансий на рынке труда на 01.01.2016г. составило 190 единиц, на 01.01.2015г. составляло 280 единиц.</w:t>
      </w:r>
    </w:p>
    <w:tbl>
      <w:tblPr>
        <w:tblW w:w="7986" w:type="dxa"/>
        <w:jc w:val="left"/>
        <w:tblInd w:w="-97" w:type="dxa"/>
        <w:tblBorders>
          <w:top w:val="single" w:sz="6" w:space="0" w:color="555555"/>
          <w:left w:val="single" w:sz="6" w:space="0" w:color="555555"/>
          <w:bottom w:val="single" w:sz="6" w:space="0" w:color="555555"/>
          <w:right w:val="single" w:sz="6" w:space="0" w:color="555555"/>
          <w:insideH w:val="single" w:sz="6" w:space="0" w:color="555555"/>
          <w:insideV w:val="single" w:sz="6" w:space="0" w:color="555555"/>
        </w:tblBorders>
        <w:tblCellMar>
          <w:top w:w="30" w:type="dxa"/>
          <w:left w:w="22" w:type="dxa"/>
          <w:bottom w:w="30" w:type="dxa"/>
          <w:right w:w="30" w:type="dxa"/>
        </w:tblCellMar>
        <w:tblLook w:val="04a0"/>
      </w:tblPr>
      <w:tblGrid>
        <w:gridCol w:w="4139"/>
        <w:gridCol w:w="951"/>
        <w:gridCol w:w="780"/>
        <w:gridCol w:w="780"/>
        <w:gridCol w:w="1336"/>
      </w:tblGrid>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Показатели деятельности Центра занятости населения Боханского района</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Ед.изме-рения</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2015 г.</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2014 г.</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Темпы роста/</w:t>
            </w:r>
          </w:p>
          <w:p>
            <w:pPr>
              <w:pStyle w:val="Normal"/>
              <w:spacing w:beforeAutospacing="1" w:afterAutospacing="1"/>
              <w:contextualSpacing/>
              <w:jc w:val="both"/>
              <w:rPr/>
            </w:pPr>
            <w:r>
              <w:rPr/>
              <w:t>снижения %</w:t>
            </w:r>
          </w:p>
        </w:tc>
      </w:tr>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обратилось в ЦЗН за содействием в поиске работы всего</w:t>
            </w:r>
          </w:p>
          <w:p>
            <w:pPr>
              <w:pStyle w:val="Normal"/>
              <w:spacing w:beforeAutospacing="1" w:afterAutospacing="1"/>
              <w:contextualSpacing/>
              <w:jc w:val="both"/>
              <w:rPr/>
            </w:pPr>
            <w:r>
              <w:rPr/>
              <w:t>в том числе:</w:t>
            </w:r>
          </w:p>
          <w:p>
            <w:pPr>
              <w:pStyle w:val="Normal"/>
              <w:spacing w:beforeAutospacing="1" w:afterAutospacing="1"/>
              <w:contextualSpacing/>
              <w:jc w:val="both"/>
              <w:rPr/>
            </w:pPr>
            <w:r>
              <w:rPr/>
              <w:t>- женщин</w:t>
            </w:r>
          </w:p>
          <w:p>
            <w:pPr>
              <w:pStyle w:val="Normal"/>
              <w:spacing w:beforeAutospacing="1" w:afterAutospacing="1"/>
              <w:contextualSpacing/>
              <w:jc w:val="both"/>
              <w:rPr/>
            </w:pPr>
            <w:r>
              <w:rPr/>
              <w:t>- молодых людей в возрасте 14-29 лет</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Чел.</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r>
          </w:p>
          <w:p>
            <w:pPr>
              <w:pStyle w:val="Normal"/>
              <w:spacing w:beforeAutospacing="1" w:afterAutospacing="1"/>
              <w:contextualSpacing/>
              <w:jc w:val="both"/>
              <w:rPr/>
            </w:pPr>
            <w:r>
              <w:rPr/>
              <w:t>555</w:t>
            </w:r>
          </w:p>
          <w:p>
            <w:pPr>
              <w:pStyle w:val="Normal"/>
              <w:spacing w:beforeAutospacing="1" w:afterAutospacing="1"/>
              <w:contextualSpacing/>
              <w:jc w:val="both"/>
              <w:rPr/>
            </w:pPr>
            <w:r>
              <w:rPr/>
              <w:t>288</w:t>
            </w:r>
          </w:p>
          <w:p>
            <w:pPr>
              <w:pStyle w:val="Normal"/>
              <w:spacing w:beforeAutospacing="1" w:afterAutospacing="1"/>
              <w:contextualSpacing/>
              <w:jc w:val="both"/>
              <w:rPr/>
            </w:pPr>
            <w:r>
              <w:rPr/>
              <w:t>296</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r>
          </w:p>
          <w:p>
            <w:pPr>
              <w:pStyle w:val="Normal"/>
              <w:spacing w:beforeAutospacing="1" w:afterAutospacing="1"/>
              <w:contextualSpacing/>
              <w:jc w:val="both"/>
              <w:rPr/>
            </w:pPr>
            <w:r>
              <w:rPr/>
              <w:t>638</w:t>
            </w:r>
          </w:p>
          <w:p>
            <w:pPr>
              <w:pStyle w:val="Normal"/>
              <w:spacing w:beforeAutospacing="1" w:afterAutospacing="1"/>
              <w:contextualSpacing/>
              <w:jc w:val="both"/>
              <w:rPr/>
            </w:pPr>
            <w:r>
              <w:rPr/>
              <w:t>352</w:t>
            </w:r>
          </w:p>
          <w:p>
            <w:pPr>
              <w:pStyle w:val="Normal"/>
              <w:spacing w:beforeAutospacing="1" w:afterAutospacing="1"/>
              <w:contextualSpacing/>
              <w:jc w:val="both"/>
              <w:rPr/>
            </w:pPr>
            <w:r>
              <w:rPr/>
              <w:t>335</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r>
          </w:p>
          <w:p>
            <w:pPr>
              <w:pStyle w:val="Normal"/>
              <w:spacing w:beforeAutospacing="1" w:afterAutospacing="1"/>
              <w:contextualSpacing/>
              <w:jc w:val="both"/>
              <w:rPr/>
            </w:pPr>
            <w:r>
              <w:rPr/>
              <w:t>86,9</w:t>
            </w:r>
          </w:p>
          <w:p>
            <w:pPr>
              <w:pStyle w:val="Normal"/>
              <w:spacing w:beforeAutospacing="1" w:afterAutospacing="1"/>
              <w:contextualSpacing/>
              <w:jc w:val="both"/>
              <w:rPr/>
            </w:pPr>
            <w:r>
              <w:rPr/>
              <w:t>81,8</w:t>
            </w:r>
          </w:p>
          <w:p>
            <w:pPr>
              <w:pStyle w:val="Normal"/>
              <w:spacing w:beforeAutospacing="1" w:afterAutospacing="1"/>
              <w:contextualSpacing/>
              <w:jc w:val="both"/>
              <w:rPr/>
            </w:pPr>
            <w:r>
              <w:rPr/>
              <w:t>88</w:t>
            </w:r>
          </w:p>
        </w:tc>
      </w:tr>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Численность зарегистрированного незанятого трудовой деятельностью населения, высвобожденные с предприятий Боханского района</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Чел.</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30</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66</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45</w:t>
            </w:r>
          </w:p>
        </w:tc>
      </w:tr>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Из числа незанятых граждан, обратившихся в ЦЗН признано безработными</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Чел.</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411</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403</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102</w:t>
            </w:r>
          </w:p>
        </w:tc>
      </w:tr>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Снято с учета безработных граждан</w:t>
            </w:r>
          </w:p>
          <w:p>
            <w:pPr>
              <w:pStyle w:val="Normal"/>
              <w:spacing w:beforeAutospacing="1" w:afterAutospacing="1"/>
              <w:contextualSpacing/>
              <w:jc w:val="both"/>
              <w:rPr/>
            </w:pPr>
            <w:r>
              <w:rPr/>
              <w:t>в том числе трудоустроено</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Чел.</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412</w:t>
            </w:r>
          </w:p>
          <w:p>
            <w:pPr>
              <w:pStyle w:val="Normal"/>
              <w:spacing w:beforeAutospacing="1" w:afterAutospacing="1"/>
              <w:contextualSpacing/>
              <w:jc w:val="both"/>
              <w:rPr/>
            </w:pPr>
            <w:r>
              <w:rPr/>
              <w:t>131</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417</w:t>
            </w:r>
          </w:p>
          <w:p>
            <w:pPr>
              <w:pStyle w:val="Normal"/>
              <w:spacing w:beforeAutospacing="1" w:afterAutospacing="1"/>
              <w:contextualSpacing/>
              <w:jc w:val="both"/>
              <w:rPr/>
            </w:pPr>
            <w:r>
              <w:rPr/>
              <w:t>154</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98,8</w:t>
            </w:r>
          </w:p>
          <w:p>
            <w:pPr>
              <w:pStyle w:val="Normal"/>
              <w:spacing w:beforeAutospacing="1" w:afterAutospacing="1"/>
              <w:contextualSpacing/>
              <w:jc w:val="both"/>
              <w:rPr/>
            </w:pPr>
            <w:r>
              <w:rPr/>
              <w:t>85</w:t>
            </w:r>
          </w:p>
        </w:tc>
      </w:tr>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Численность безработных граждан, состоящих на учете на 1 января</w:t>
            </w:r>
          </w:p>
          <w:p>
            <w:pPr>
              <w:pStyle w:val="Normal"/>
              <w:spacing w:beforeAutospacing="1" w:afterAutospacing="1"/>
              <w:contextualSpacing/>
              <w:jc w:val="both"/>
              <w:rPr/>
            </w:pPr>
            <w:r>
              <w:rPr/>
              <w:t>из них получают пособие по безработице</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Чел.</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203</w:t>
            </w:r>
          </w:p>
          <w:p>
            <w:pPr>
              <w:pStyle w:val="Normal"/>
              <w:spacing w:beforeAutospacing="1" w:afterAutospacing="1"/>
              <w:contextualSpacing/>
              <w:jc w:val="both"/>
              <w:rPr/>
            </w:pPr>
            <w:r>
              <w:rPr/>
              <w:t>190</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r>
          </w:p>
          <w:p>
            <w:pPr>
              <w:pStyle w:val="Normal"/>
              <w:spacing w:beforeAutospacing="1" w:afterAutospacing="1"/>
              <w:contextualSpacing/>
              <w:jc w:val="both"/>
              <w:rPr/>
            </w:pPr>
            <w:r>
              <w:rPr/>
              <w:t>204</w:t>
            </w:r>
          </w:p>
          <w:p>
            <w:pPr>
              <w:pStyle w:val="Normal"/>
              <w:spacing w:beforeAutospacing="1" w:afterAutospacing="1"/>
              <w:contextualSpacing/>
              <w:jc w:val="both"/>
              <w:rPr/>
            </w:pPr>
            <w:r>
              <w:rPr/>
              <w:t>194</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r>
          </w:p>
          <w:p>
            <w:pPr>
              <w:pStyle w:val="Normal"/>
              <w:spacing w:beforeAutospacing="1" w:afterAutospacing="1"/>
              <w:contextualSpacing/>
              <w:jc w:val="both"/>
              <w:rPr/>
            </w:pPr>
            <w:r>
              <w:rPr/>
              <w:t>99,5</w:t>
            </w:r>
          </w:p>
          <w:p>
            <w:pPr>
              <w:pStyle w:val="Normal"/>
              <w:spacing w:beforeAutospacing="1" w:afterAutospacing="1"/>
              <w:contextualSpacing/>
              <w:jc w:val="both"/>
              <w:rPr/>
            </w:pPr>
            <w:r>
              <w:rPr/>
              <w:t>97,9</w:t>
            </w:r>
          </w:p>
        </w:tc>
      </w:tr>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Уровень регистрируемой безработицы на 31 декабря</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1,44</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1,45</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 </w:t>
            </w:r>
          </w:p>
        </w:tc>
      </w:tr>
    </w:tbl>
    <w:p>
      <w:pPr>
        <w:pStyle w:val="Normal"/>
        <w:tabs>
          <w:tab w:val="left" w:pos="3544" w:leader="none"/>
        </w:tabs>
        <w:jc w:val="right"/>
        <w:rPr>
          <w:b/>
          <w:b/>
          <w:bCs/>
        </w:rPr>
      </w:pPr>
      <w:r>
        <w:rPr>
          <w:b/>
          <w:bCs/>
        </w:rPr>
        <w:t xml:space="preserve">                    </w:t>
      </w:r>
    </w:p>
    <w:p>
      <w:pPr>
        <w:pStyle w:val="Normal"/>
        <w:tabs>
          <w:tab w:val="left" w:pos="3544" w:leader="none"/>
        </w:tabs>
        <w:ind w:firstLine="709"/>
        <w:jc w:val="both"/>
        <w:rPr/>
      </w:pPr>
      <w:r>
        <w:rPr/>
      </w:r>
    </w:p>
    <w:p>
      <w:pPr>
        <w:pStyle w:val="Normal"/>
        <w:tabs>
          <w:tab w:val="left" w:pos="3544" w:leader="none"/>
        </w:tabs>
        <w:ind w:firstLine="709"/>
        <w:jc w:val="both"/>
        <w:rPr/>
      </w:pPr>
      <w:r>
        <w:rPr/>
      </w:r>
    </w:p>
    <w:p>
      <w:pPr>
        <w:pStyle w:val="Normal"/>
        <w:tabs>
          <w:tab w:val="left" w:pos="3544" w:leader="none"/>
        </w:tabs>
        <w:ind w:firstLine="709"/>
        <w:jc w:val="both"/>
        <w:rPr/>
      </w:pPr>
      <w:r>
        <w:rPr/>
      </w:r>
    </w:p>
    <w:p>
      <w:pPr>
        <w:pStyle w:val="Normal"/>
        <w:tabs>
          <w:tab w:val="left" w:pos="3544" w:leader="none"/>
        </w:tabs>
        <w:ind w:firstLine="709"/>
        <w:jc w:val="both"/>
        <w:rPr/>
      </w:pPr>
      <w:r>
        <w:rPr/>
      </w:r>
    </w:p>
    <w:p>
      <w:pPr>
        <w:pStyle w:val="Normal"/>
        <w:widowControl w:val="false"/>
        <w:tabs>
          <w:tab w:val="left" w:pos="0" w:leader="none"/>
        </w:tabs>
        <w:spacing w:lineRule="exact" w:line="330"/>
        <w:ind w:left="720" w:hanging="0"/>
        <w:jc w:val="center"/>
        <w:rPr>
          <w:b/>
          <w:b/>
          <w:bCs/>
        </w:rPr>
      </w:pPr>
      <w:r>
        <w:rPr>
          <w:b/>
          <w:bCs/>
        </w:rPr>
        <w:t>2.  Материалы по обоснованию расчетных показателей, содержащихся в основной части нормативов градостроительного проектирования.</w:t>
      </w:r>
    </w:p>
    <w:p>
      <w:pPr>
        <w:pStyle w:val="Normal"/>
        <w:widowControl w:val="false"/>
        <w:tabs>
          <w:tab w:val="left" w:pos="0" w:leader="none"/>
        </w:tabs>
        <w:spacing w:lineRule="exact" w:line="330"/>
        <w:ind w:left="720" w:hanging="0"/>
        <w:jc w:val="center"/>
        <w:rPr>
          <w:b/>
          <w:b/>
          <w:bCs/>
        </w:rPr>
      </w:pPr>
      <w:r>
        <w:rPr>
          <w:b/>
          <w:bCs/>
        </w:rPr>
      </w:r>
    </w:p>
    <w:p>
      <w:pPr>
        <w:pStyle w:val="Normal"/>
        <w:widowControl w:val="false"/>
        <w:tabs>
          <w:tab w:val="left" w:pos="0" w:leader="none"/>
        </w:tabs>
        <w:spacing w:lineRule="exact" w:line="330"/>
        <w:jc w:val="center"/>
        <w:rPr>
          <w:b/>
          <w:b/>
          <w:bCs/>
        </w:rPr>
      </w:pPr>
      <w:r>
        <w:rPr>
          <w:b/>
          <w:bCs/>
        </w:rPr>
        <w:t>2.1.Обоснование  видов  объектов  местного  значения муниципального района, для которых определяются расчетные показатели</w:t>
      </w:r>
    </w:p>
    <w:p>
      <w:pPr>
        <w:pStyle w:val="Normal"/>
        <w:widowControl w:val="false"/>
        <w:tabs>
          <w:tab w:val="left" w:pos="3544" w:leader="none"/>
          <w:tab w:val="left" w:pos="7507" w:leader="none"/>
        </w:tabs>
        <w:spacing w:before="270" w:after="0"/>
        <w:ind w:firstLine="720"/>
        <w:contextualSpacing/>
        <w:jc w:val="both"/>
        <w:rPr/>
      </w:pPr>
      <w:r>
        <w:rPr/>
      </w:r>
    </w:p>
    <w:p>
      <w:pPr>
        <w:pStyle w:val="Normal"/>
        <w:widowControl w:val="false"/>
        <w:tabs>
          <w:tab w:val="left" w:pos="3544" w:leader="none"/>
          <w:tab w:val="left" w:pos="7507" w:leader="none"/>
        </w:tabs>
        <w:spacing w:before="270" w:after="0"/>
        <w:ind w:firstLine="680"/>
        <w:contextualSpacing/>
        <w:jc w:val="both"/>
        <w:rPr/>
      </w:pPr>
      <w:r>
        <w:rPr/>
        <w:t xml:space="preserve">Обоснование  видов  объектов  местного  значения муниципального образования «Боханский район» выполняется  в  целях  определения  объектов  местного  значения района  для которых необходимо разрабатывать расчетные показатели и последующую систематизацию нормативов градостроительного проектирования  по  видам  объектов  местного  значения  муниципального образования «Боханский район». </w:t>
      </w:r>
    </w:p>
    <w:p>
      <w:pPr>
        <w:pStyle w:val="Normal"/>
        <w:widowControl w:val="false"/>
        <w:tabs>
          <w:tab w:val="left" w:pos="3544" w:leader="none"/>
        </w:tabs>
        <w:spacing w:before="0" w:after="0"/>
        <w:ind w:firstLine="709"/>
        <w:contextualSpacing/>
        <w:jc w:val="both"/>
        <w:rPr/>
      </w:pPr>
      <w:r>
        <w:rPr/>
        <w:t xml:space="preserve">Согласно пункта 20 статьи 1 Градостроительного Кодекса Российской Федерации,  под объектами  местного  значения понимаются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района. В настоящих нормативах принято, что к объектам местного значения муниципального образования «Боханский район», оказывающим существенное влияние на социально-экономическое развитие района, относятся объекты, если они оказывают или будут оказывать влияние на социально-экономическое  развитие  района в целом  либо одновременно  двух  и более поселений, находящихся в границах муниципального образования «Боханский район»  </w:t>
      </w:r>
    </w:p>
    <w:p>
      <w:pPr>
        <w:pStyle w:val="Normal"/>
        <w:widowControl w:val="false"/>
        <w:tabs>
          <w:tab w:val="left" w:pos="3053" w:leader="none"/>
          <w:tab w:val="left" w:pos="3544" w:leader="none"/>
          <w:tab w:val="left" w:pos="5741" w:leader="none"/>
          <w:tab w:val="left" w:pos="8966" w:leader="none"/>
          <w:tab w:val="left" w:pos="9209" w:leader="none"/>
        </w:tabs>
        <w:spacing w:before="0" w:after="0"/>
        <w:ind w:firstLine="709"/>
        <w:contextualSpacing/>
        <w:jc w:val="both"/>
        <w:rPr/>
      </w:pPr>
      <w:r>
        <w:rPr/>
        <w:t xml:space="preserve">Виды  объектов местного  значения муниципального образования «Боханский район», для которых определяются расчетные показатели минимально допустимого уровня обеспеченности объектами местного значения (пункт 1 части 3 статьи  19  Градостроительного   кодекса  Российской  Федерации) и расчетные  показатели  максимально допустимого уровня  территориальной доступности таких объектов для населения,  определяется  на  основании  полномочий  органов  местного  самоуправления, которые в  соответствии  с Федеральным  законом  от  6  октября 2003 года N 131-ФЗ "Об общих принципах организации местного самоуправления в Российской Федерации" могут находиться в собственности муниципального образования «Боханский район», в том числе в части создания и  учёта  объектов  местного  значения  в  различных  областях  (видах деятельности).  Объекты  местного  значения муниципального  района,  указанные в  п.2 ст. 3.1 Закона Иркутской области от 23.07.2008 г. №59-оз «О градостроительной деятельности в Иркутской области». </w:t>
      </w:r>
    </w:p>
    <w:p>
      <w:pPr>
        <w:pStyle w:val="NormalWeb"/>
        <w:tabs>
          <w:tab w:val="left" w:pos="3544" w:leader="none"/>
        </w:tabs>
        <w:spacing w:beforeAutospacing="0" w:before="0" w:afterAutospacing="0" w:after="0"/>
        <w:ind w:firstLine="709"/>
        <w:contextualSpacing/>
        <w:jc w:val="both"/>
        <w:rPr/>
      </w:pPr>
      <w:r>
        <w:rPr/>
        <w:t xml:space="preserve">К данным объектам относятся: </w:t>
      </w:r>
    </w:p>
    <w:p>
      <w:pPr>
        <w:pStyle w:val="NormalWeb"/>
        <w:tabs>
          <w:tab w:val="left" w:pos="3544" w:leader="none"/>
        </w:tabs>
        <w:spacing w:beforeAutospacing="0" w:before="0" w:afterAutospacing="0" w:after="0"/>
        <w:ind w:firstLine="709"/>
        <w:contextualSpacing/>
        <w:jc w:val="both"/>
        <w:rPr/>
      </w:pPr>
      <w:r>
        <w:rPr/>
        <w:t>а) объекты электроснабжения поселений муниципального образования «Боханский район»;</w:t>
      </w:r>
    </w:p>
    <w:p>
      <w:pPr>
        <w:pStyle w:val="NormalWeb"/>
        <w:tabs>
          <w:tab w:val="left" w:pos="3544" w:leader="none"/>
        </w:tabs>
        <w:spacing w:beforeAutospacing="0" w:before="0" w:afterAutospacing="0" w:after="0"/>
        <w:ind w:firstLine="709"/>
        <w:contextualSpacing/>
        <w:jc w:val="both"/>
        <w:rPr/>
      </w:pPr>
      <w:r>
        <w:rPr/>
        <w:t>б) объекты здравоохранения;</w:t>
      </w:r>
    </w:p>
    <w:p>
      <w:pPr>
        <w:pStyle w:val="NormalWeb"/>
        <w:tabs>
          <w:tab w:val="left" w:pos="3544" w:leader="none"/>
        </w:tabs>
        <w:spacing w:beforeAutospacing="0" w:before="0" w:afterAutospacing="0" w:after="0"/>
        <w:ind w:firstLine="709"/>
        <w:contextualSpacing/>
        <w:jc w:val="both"/>
        <w:rPr/>
      </w:pPr>
      <w:r>
        <w:rPr/>
        <w:t>в) объекты физической культуры и массового спорта, в том числе:</w:t>
      </w:r>
    </w:p>
    <w:p>
      <w:pPr>
        <w:pStyle w:val="NormalWeb"/>
        <w:tabs>
          <w:tab w:val="left" w:pos="3544" w:leader="none"/>
        </w:tabs>
        <w:spacing w:beforeAutospacing="0" w:before="0" w:afterAutospacing="0" w:after="0"/>
        <w:ind w:firstLine="709"/>
        <w:contextualSpacing/>
        <w:jc w:val="both"/>
        <w:rPr/>
      </w:pPr>
      <w:r>
        <w:rPr/>
        <w:t>-спортивные комплексы;</w:t>
      </w:r>
    </w:p>
    <w:p>
      <w:pPr>
        <w:pStyle w:val="NormalWeb"/>
        <w:tabs>
          <w:tab w:val="left" w:pos="3544" w:leader="none"/>
        </w:tabs>
        <w:spacing w:beforeAutospacing="0" w:before="0" w:afterAutospacing="0" w:after="0"/>
        <w:ind w:firstLine="709"/>
        <w:contextualSpacing/>
        <w:jc w:val="both"/>
        <w:rPr/>
      </w:pPr>
      <w:r>
        <w:rPr/>
        <w:t>-плавательные бассейны;</w:t>
      </w:r>
    </w:p>
    <w:p>
      <w:pPr>
        <w:pStyle w:val="NormalWeb"/>
        <w:tabs>
          <w:tab w:val="left" w:pos="3544" w:leader="none"/>
        </w:tabs>
        <w:spacing w:beforeAutospacing="0" w:before="0" w:afterAutospacing="0" w:after="0"/>
        <w:ind w:firstLine="709"/>
        <w:contextualSpacing/>
        <w:jc w:val="both"/>
        <w:rPr/>
      </w:pPr>
      <w:r>
        <w:rPr/>
        <w:t>-стадионы;</w:t>
      </w:r>
    </w:p>
    <w:p>
      <w:pPr>
        <w:pStyle w:val="NormalWeb"/>
        <w:tabs>
          <w:tab w:val="left" w:pos="3544" w:leader="none"/>
        </w:tabs>
        <w:spacing w:beforeAutospacing="0" w:before="0" w:afterAutospacing="0" w:after="0"/>
        <w:ind w:firstLine="709"/>
        <w:contextualSpacing/>
        <w:jc w:val="both"/>
        <w:rPr/>
      </w:pPr>
      <w:r>
        <w:rPr/>
        <w:t>г) объекты образования, в том числе объекты капитального строительства муниципальных образовательных организаций;</w:t>
      </w:r>
    </w:p>
    <w:p>
      <w:pPr>
        <w:pStyle w:val="NormalWeb"/>
        <w:tabs>
          <w:tab w:val="left" w:pos="3544" w:leader="none"/>
        </w:tabs>
        <w:spacing w:beforeAutospacing="0" w:before="0" w:afterAutospacing="0" w:after="0"/>
        <w:ind w:firstLine="709"/>
        <w:contextualSpacing/>
        <w:jc w:val="both"/>
        <w:rPr/>
      </w:pPr>
      <w:r>
        <w:rPr/>
        <w:t>д) объекты культуры, в том числе:</w:t>
      </w:r>
    </w:p>
    <w:p>
      <w:pPr>
        <w:pStyle w:val="NormalWeb"/>
        <w:tabs>
          <w:tab w:val="left" w:pos="3544" w:leader="none"/>
        </w:tabs>
        <w:spacing w:beforeAutospacing="0" w:before="0" w:afterAutospacing="0" w:after="0"/>
        <w:ind w:firstLine="709"/>
        <w:contextualSpacing/>
        <w:jc w:val="both"/>
        <w:rPr/>
      </w:pPr>
      <w:r>
        <w:rPr/>
        <w:t>-муниципальные архивы;</w:t>
      </w:r>
    </w:p>
    <w:p>
      <w:pPr>
        <w:pStyle w:val="NormalWeb"/>
        <w:tabs>
          <w:tab w:val="left" w:pos="3544" w:leader="none"/>
        </w:tabs>
        <w:spacing w:beforeAutospacing="0" w:before="0" w:afterAutospacing="0" w:after="0"/>
        <w:ind w:firstLine="709"/>
        <w:contextualSpacing/>
        <w:jc w:val="both"/>
        <w:rPr/>
      </w:pPr>
      <w:r>
        <w:rPr/>
        <w:t>-муниципальные библиотеки;</w:t>
      </w:r>
    </w:p>
    <w:p>
      <w:pPr>
        <w:pStyle w:val="NormalWeb"/>
        <w:tabs>
          <w:tab w:val="left" w:pos="3544" w:leader="none"/>
        </w:tabs>
        <w:spacing w:beforeAutospacing="0" w:before="0" w:afterAutospacing="0" w:after="0"/>
        <w:ind w:firstLine="709"/>
        <w:contextualSpacing/>
        <w:jc w:val="both"/>
        <w:rPr/>
      </w:pPr>
      <w:r>
        <w:rPr/>
        <w:t>-муниципальные музеи;</w:t>
      </w:r>
    </w:p>
    <w:p>
      <w:pPr>
        <w:pStyle w:val="NormalWeb"/>
        <w:tabs>
          <w:tab w:val="left" w:pos="3544" w:leader="none"/>
        </w:tabs>
        <w:spacing w:beforeAutospacing="0" w:before="0" w:afterAutospacing="0" w:after="0"/>
        <w:ind w:firstLine="709"/>
        <w:contextualSpacing/>
        <w:jc w:val="both"/>
        <w:rPr/>
      </w:pPr>
      <w:r>
        <w:rPr/>
        <w:t>е) автомобильные дороги местного значения вне границ населенных пунктов в границах муниципального образования «Боханский район»;</w:t>
      </w:r>
    </w:p>
    <w:p>
      <w:pPr>
        <w:pStyle w:val="NormalWeb"/>
        <w:tabs>
          <w:tab w:val="left" w:pos="3544" w:leader="none"/>
        </w:tabs>
        <w:spacing w:beforeAutospacing="0" w:before="0" w:afterAutospacing="0" w:after="0"/>
        <w:ind w:firstLine="709"/>
        <w:contextualSpacing/>
        <w:jc w:val="both"/>
        <w:rPr/>
      </w:pPr>
      <w:r>
        <w:rPr/>
        <w:t>ж) объекты, предназначенные для утилизации и переработки бытовых и промышленных отходов;</w:t>
      </w:r>
    </w:p>
    <w:p>
      <w:pPr>
        <w:pStyle w:val="NormalWeb"/>
        <w:tabs>
          <w:tab w:val="left" w:pos="3544" w:leader="none"/>
        </w:tabs>
        <w:spacing w:beforeAutospacing="0" w:before="0" w:afterAutospacing="0" w:after="0"/>
        <w:ind w:firstLine="709"/>
        <w:contextualSpacing/>
        <w:jc w:val="both"/>
        <w:rPr/>
      </w:pPr>
      <w:r>
        <w:rPr/>
        <w:t>з) объекты культурного наследия местного (муниципального) значения;</w:t>
      </w:r>
    </w:p>
    <w:p>
      <w:pPr>
        <w:pStyle w:val="NormalWeb"/>
        <w:tabs>
          <w:tab w:val="left" w:pos="3544" w:leader="none"/>
        </w:tabs>
        <w:spacing w:beforeAutospacing="0" w:before="0" w:afterAutospacing="0" w:after="0"/>
        <w:ind w:firstLine="709"/>
        <w:contextualSpacing/>
        <w:jc w:val="both"/>
        <w:rPr/>
      </w:pPr>
      <w:r>
        <w:rPr/>
        <w:t>и) особо охраняемые природные территории местного значения;</w:t>
      </w:r>
    </w:p>
    <w:p>
      <w:pPr>
        <w:pStyle w:val="NormalWeb"/>
        <w:tabs>
          <w:tab w:val="left" w:pos="3544" w:leader="none"/>
        </w:tabs>
        <w:spacing w:beforeAutospacing="0" w:before="0" w:afterAutospacing="0" w:after="0"/>
        <w:ind w:firstLine="709"/>
        <w:contextualSpacing/>
        <w:jc w:val="both"/>
        <w:rPr/>
      </w:pPr>
      <w:r>
        <w:rPr/>
        <w:t>к) объекты, включая земельные участки, предназначенные для содержания на территории муниципального образования «Боханский район» мест захоронения и организации ритуальных услуг;</w:t>
      </w:r>
    </w:p>
    <w:p>
      <w:pPr>
        <w:pStyle w:val="Normal"/>
        <w:widowControl w:val="false"/>
        <w:tabs>
          <w:tab w:val="left" w:pos="3544" w:leader="none"/>
        </w:tabs>
        <w:spacing w:lineRule="exact" w:line="330"/>
        <w:ind w:firstLine="709"/>
        <w:jc w:val="both"/>
        <w:rPr/>
      </w:pPr>
      <w:r>
        <w:rPr/>
        <w:t>л) иные объекты.</w:t>
      </w:r>
    </w:p>
    <w:p>
      <w:pPr>
        <w:pStyle w:val="Normal"/>
        <w:widowControl w:val="false"/>
        <w:tabs>
          <w:tab w:val="left" w:pos="878" w:leader="none"/>
          <w:tab w:val="left" w:pos="3544" w:leader="none"/>
        </w:tabs>
        <w:spacing w:before="0" w:after="0"/>
        <w:ind w:firstLine="709"/>
        <w:contextualSpacing/>
        <w:jc w:val="center"/>
        <w:rPr>
          <w:b/>
          <w:b/>
          <w:color w:val="000000"/>
        </w:rPr>
      </w:pPr>
      <w:r>
        <w:rPr>
          <w:b/>
          <w:color w:val="000000"/>
        </w:rPr>
      </w:r>
    </w:p>
    <w:p>
      <w:pPr>
        <w:pStyle w:val="Normal"/>
        <w:widowControl w:val="false"/>
        <w:tabs>
          <w:tab w:val="left" w:pos="878" w:leader="none"/>
          <w:tab w:val="left" w:pos="3544" w:leader="none"/>
        </w:tabs>
        <w:spacing w:before="0" w:after="0"/>
        <w:ind w:firstLine="709"/>
        <w:contextualSpacing/>
        <w:jc w:val="center"/>
        <w:rPr>
          <w:b/>
          <w:b/>
          <w:color w:val="000000"/>
        </w:rPr>
      </w:pPr>
      <w:r>
        <w:rPr>
          <w:b/>
          <w:color w:val="000000"/>
        </w:rPr>
        <w:t>2.2 Учет социально-демографического состава и плотности населения</w:t>
      </w:r>
    </w:p>
    <w:p>
      <w:pPr>
        <w:pStyle w:val="Normal"/>
        <w:widowControl w:val="false"/>
        <w:tabs>
          <w:tab w:val="left" w:pos="3544" w:leader="none"/>
        </w:tabs>
        <w:spacing w:before="0" w:after="0"/>
        <w:contextualSpacing/>
        <w:jc w:val="center"/>
        <w:rPr>
          <w:b/>
          <w:b/>
          <w:color w:val="000000"/>
        </w:rPr>
      </w:pPr>
      <w:r>
        <w:rPr>
          <w:b/>
          <w:color w:val="000000"/>
        </w:rPr>
        <w:t>на территории муниципального образования</w:t>
      </w:r>
    </w:p>
    <w:p>
      <w:pPr>
        <w:pStyle w:val="Normal"/>
        <w:widowControl w:val="false"/>
        <w:tabs>
          <w:tab w:val="left" w:pos="3544" w:leader="none"/>
        </w:tabs>
        <w:spacing w:before="0" w:after="0"/>
        <w:contextualSpacing/>
        <w:jc w:val="center"/>
        <w:rPr>
          <w:b/>
          <w:b/>
          <w:color w:val="000000"/>
        </w:rPr>
      </w:pPr>
      <w:r>
        <w:rPr>
          <w:b/>
          <w:color w:val="000000"/>
        </w:rPr>
      </w:r>
    </w:p>
    <w:p>
      <w:pPr>
        <w:pStyle w:val="Normal"/>
        <w:widowControl w:val="false"/>
        <w:tabs>
          <w:tab w:val="left" w:pos="3544" w:leader="none"/>
        </w:tabs>
        <w:spacing w:before="285" w:after="0"/>
        <w:ind w:firstLine="709"/>
        <w:contextualSpacing/>
        <w:jc w:val="both"/>
        <w:rPr>
          <w:color w:val="000000"/>
        </w:rPr>
      </w:pPr>
      <w:r>
        <w:rPr>
          <w:color w:val="000000"/>
        </w:rPr>
        <w:t>Согласно пункту 1 части 5 статьи 29.4 Градостроительного Кодекса Российской Федерации подготовка местных нормативов градостроительного проектирования  осуществлялась  с  учетом  социально-демографического состава и плотности населения на территории муниципального образования.</w:t>
      </w:r>
    </w:p>
    <w:p>
      <w:pPr>
        <w:pStyle w:val="Normal"/>
        <w:widowControl w:val="false"/>
        <w:tabs>
          <w:tab w:val="left" w:pos="709" w:leader="none"/>
        </w:tabs>
        <w:spacing w:before="0" w:after="0"/>
        <w:ind w:firstLine="709"/>
        <w:contextualSpacing/>
        <w:jc w:val="center"/>
        <w:rPr>
          <w:b/>
          <w:b/>
          <w:color w:val="000000"/>
        </w:rPr>
      </w:pPr>
      <w:r>
        <w:rPr>
          <w:b/>
          <w:color w:val="000000"/>
        </w:rPr>
      </w:r>
    </w:p>
    <w:p>
      <w:pPr>
        <w:pStyle w:val="Normal"/>
        <w:widowControl w:val="false"/>
        <w:tabs>
          <w:tab w:val="left" w:pos="709" w:leader="none"/>
        </w:tabs>
        <w:spacing w:before="0" w:after="0"/>
        <w:ind w:left="720" w:hanging="0"/>
        <w:contextualSpacing/>
        <w:jc w:val="center"/>
        <w:rPr>
          <w:b/>
          <w:b/>
          <w:color w:val="000000"/>
        </w:rPr>
      </w:pPr>
      <w:r>
        <w:rPr>
          <w:b/>
          <w:color w:val="000000"/>
        </w:rPr>
        <w:t>2.3.Сведения  о  планах  и  программах  комплексного  социально-экономического развития муниципального образования</w:t>
      </w:r>
    </w:p>
    <w:p>
      <w:pPr>
        <w:pStyle w:val="Normal"/>
        <w:widowControl w:val="false"/>
        <w:tabs>
          <w:tab w:val="left" w:pos="709" w:leader="none"/>
        </w:tabs>
        <w:spacing w:before="0" w:after="0"/>
        <w:ind w:left="375" w:hanging="0"/>
        <w:contextualSpacing/>
        <w:rPr>
          <w:b/>
          <w:b/>
          <w:color w:val="000000"/>
        </w:rPr>
      </w:pPr>
      <w:r>
        <w:rPr>
          <w:b/>
          <w:color w:val="000000"/>
        </w:rPr>
      </w:r>
    </w:p>
    <w:p>
      <w:pPr>
        <w:pStyle w:val="Normal"/>
        <w:widowControl w:val="false"/>
        <w:tabs>
          <w:tab w:val="left" w:pos="3544" w:leader="none"/>
        </w:tabs>
        <w:spacing w:before="285" w:after="0"/>
        <w:ind w:firstLine="709"/>
        <w:contextualSpacing/>
        <w:jc w:val="both"/>
        <w:rPr>
          <w:color w:val="000000"/>
        </w:rPr>
      </w:pPr>
      <w:r>
        <w:rPr>
          <w:color w:val="000000"/>
        </w:rPr>
        <w:t>Согласно пункту 2 части 5 статьи 29.4 Градостроительного Кодекса Российской Федерации подготовка местных нормативов градостроительного проектирования осуществляется с учетом планов и программ комплексного социально-экономического развития муниципального образования.</w:t>
      </w:r>
    </w:p>
    <w:p>
      <w:pPr>
        <w:pStyle w:val="Normal"/>
        <w:widowControl w:val="false"/>
        <w:tabs>
          <w:tab w:val="left" w:pos="1843" w:leader="none"/>
          <w:tab w:val="left" w:pos="9498" w:leader="none"/>
        </w:tabs>
        <w:spacing w:before="0" w:after="0"/>
        <w:ind w:firstLine="720"/>
        <w:contextualSpacing/>
        <w:jc w:val="both"/>
        <w:rPr>
          <w:color w:val="000000"/>
        </w:rPr>
      </w:pPr>
      <w:r>
        <w:rPr>
          <w:color w:val="000000"/>
        </w:rPr>
        <w:t xml:space="preserve"> </w:t>
      </w:r>
      <w:r>
        <w:rPr>
          <w:color w:val="000000"/>
        </w:rPr>
        <w:t xml:space="preserve">При разработке местных нормативов градостроительного проектирования  муниципального образования «Боханский район» учтены положения  комплексных  программ  социально-экономического  развития  и  целевых программ, а также других документов в области стратегического планирования, в которых имеются  сведения  и  характеристики  о  планируемых  (намечаемых)  в  этих  документах, объектах местного значения: </w:t>
      </w:r>
    </w:p>
    <w:p>
      <w:pPr>
        <w:pStyle w:val="Normal"/>
        <w:numPr>
          <w:ilvl w:val="0"/>
          <w:numId w:val="3"/>
        </w:numPr>
        <w:ind w:left="0" w:firstLine="720"/>
        <w:rPr/>
      </w:pPr>
      <w:r>
        <w:rPr/>
        <w:t>Схема территориального планирования муниципального образования «Боханский район», утвержденная решением Думы  муниципального образования «Боханский район» от 29 мая 2013 года №304</w:t>
      </w:r>
    </w:p>
    <w:p>
      <w:pPr>
        <w:pStyle w:val="Normal"/>
        <w:numPr>
          <w:ilvl w:val="0"/>
          <w:numId w:val="3"/>
        </w:numPr>
        <w:ind w:left="0" w:firstLine="720"/>
        <w:rPr/>
      </w:pPr>
      <w:r>
        <w:rPr/>
        <w:t xml:space="preserve">Программа «Развитие физической культуры и спорта в муниципальном образовании «Боханский район» на 2015-2017 г.г., утвержденная Постановлением администрации муниципального образования «Боханский район»   от 24 декабря 2014г № 1069. </w:t>
      </w:r>
    </w:p>
    <w:p>
      <w:pPr>
        <w:pStyle w:val="Normal"/>
        <w:numPr>
          <w:ilvl w:val="0"/>
          <w:numId w:val="3"/>
        </w:numPr>
        <w:ind w:left="0" w:firstLine="709"/>
        <w:rPr/>
      </w:pPr>
      <w:r>
        <w:rPr/>
        <w:t xml:space="preserve">Программа «Молодежная политика в муниципальном образовании «Боханский район» на 2015-2017 г.г., утвержденная Постановлением администрации муниципального образования «Боханский район»  от 24 декабря 2014г № 1068 (включает 4 подпрограммы). </w:t>
      </w:r>
    </w:p>
    <w:p>
      <w:pPr>
        <w:pStyle w:val="Normal"/>
        <w:ind w:left="709" w:hanging="0"/>
        <w:jc w:val="both"/>
        <w:rPr/>
      </w:pPr>
      <w:r>
        <w:rPr/>
        <w:t xml:space="preserve">4.   Программа «Устойчивое развитие сельских территорий на 2014-2017 годы и на период  до 2020 года муниципального образования «Боханский район», утвержденная Постановлением администрации муниципального образования «Боханский район»  от 14 марта 2014г.  № 230 </w:t>
      </w:r>
    </w:p>
    <w:p>
      <w:pPr>
        <w:pStyle w:val="Normal"/>
        <w:ind w:left="709" w:hanging="0"/>
        <w:rPr/>
      </w:pPr>
      <w:r>
        <w:rPr/>
        <w:t xml:space="preserve">5.   Программа «Социально-экономическое развитие сферы культуры муниципального образования «Боханский район» на 2015-2020 годы, утвержденная Постановлением администрации муниципального образования «Боханский район»  от 12 декабря 2014г № 1029. </w:t>
      </w:r>
    </w:p>
    <w:p>
      <w:pPr>
        <w:pStyle w:val="Normal"/>
        <w:ind w:left="709" w:hanging="0"/>
        <w:rPr/>
      </w:pPr>
      <w:r>
        <w:rPr/>
        <w:t xml:space="preserve">6.   Программа «Профилактика терроризма и экстремизма и других преступлений и правонарушений на территории Боханского района на 2014-2016 г.г. », утвержденная Постановлением администрации муниципального образования «Боханский район»  от 13 февраля 2014г № 126. </w:t>
      </w:r>
    </w:p>
    <w:p>
      <w:pPr>
        <w:pStyle w:val="Normal"/>
        <w:ind w:left="709" w:hanging="0"/>
        <w:rPr/>
      </w:pPr>
      <w:r>
        <w:rPr/>
        <w:t xml:space="preserve">7.   Программа «Развитие автомобильных дорог муниципального образования «Боханский район» на 2013-2015 годы, утвержденная Постановлением администрации муниципального образования «Боханский район»  от 28 марта 2013 г.  № 335. </w:t>
      </w:r>
    </w:p>
    <w:p>
      <w:pPr>
        <w:pStyle w:val="Normal"/>
        <w:ind w:left="720" w:hanging="0"/>
        <w:rPr/>
      </w:pPr>
      <w:r>
        <w:rPr/>
        <w:t xml:space="preserve">8.   Программа «Комплексное развитие системы жилищно-коммунального хозяйства муниципального образования «Боханский район» на 2014-2016 г.г., утвержденная решением Думы муниципального образования «Боханский район»  от 25 декабря 2013г. </w:t>
      </w:r>
    </w:p>
    <w:p>
      <w:pPr>
        <w:pStyle w:val="Normal"/>
        <w:ind w:left="720" w:hanging="0"/>
        <w:rPr/>
      </w:pPr>
      <w:r>
        <w:rPr/>
        <w:t xml:space="preserve">№ </w:t>
      </w:r>
      <w:r>
        <w:rPr/>
        <w:t>338</w:t>
      </w:r>
    </w:p>
    <w:p>
      <w:pPr>
        <w:pStyle w:val="Normal"/>
        <w:ind w:left="709" w:hanging="0"/>
        <w:rPr/>
      </w:pPr>
      <w:r>
        <w:rPr/>
        <w:t xml:space="preserve">9.   Программа «Оформление права собственности на муниципальное имущество муниципального образования «Боханский район» на 2013-2015 г.г. утвержденная Постановлением администрации муниципального образования «Боханский район»  от 03 декабря 2012г № 1064 </w:t>
      </w:r>
    </w:p>
    <w:p>
      <w:pPr>
        <w:pStyle w:val="Normal"/>
        <w:ind w:left="720" w:hanging="0"/>
        <w:rPr/>
      </w:pPr>
      <w:r>
        <w:rPr/>
        <w:t>10.   Программа «Комплексное социально-экономическое развитие муниципального образования «Боханский район»» на 2011-2015 годы утвержденная решением Думы  от 8 декабря 2011г № 119</w:t>
      </w:r>
    </w:p>
    <w:p>
      <w:pPr>
        <w:pStyle w:val="Normal"/>
        <w:ind w:left="709" w:hanging="0"/>
        <w:jc w:val="both"/>
        <w:rPr/>
      </w:pPr>
      <w:r>
        <w:rPr/>
        <w:t xml:space="preserve">11. Программа «Повышение безопасности дорожного движения в муниципальном образовании «Боханский район» 2013-2015 годы утвержденная Постановлением администрации муниципального образования «Боханский район»  от 07 ноября 2012г. № 952 </w:t>
      </w:r>
    </w:p>
    <w:p>
      <w:pPr>
        <w:pStyle w:val="Normal"/>
        <w:ind w:left="709" w:hanging="0"/>
        <w:jc w:val="both"/>
        <w:rPr/>
      </w:pPr>
      <w:r>
        <w:rPr/>
        <w:t xml:space="preserve">12. Программа «Энергосбережение и повышение энергетической  эффективности в муниципальном образовании «Боханский район», утвержденная Постановлением администрации муниципального образования «Боханский район»  от 05.07.2014 г. №632 </w:t>
      </w:r>
    </w:p>
    <w:p>
      <w:pPr>
        <w:pStyle w:val="Normal"/>
        <w:ind w:left="709" w:hanging="0"/>
        <w:jc w:val="both"/>
        <w:rPr/>
      </w:pPr>
      <w:r>
        <w:rPr/>
      </w:r>
    </w:p>
    <w:p>
      <w:pPr>
        <w:pStyle w:val="Normal"/>
        <w:widowControl w:val="false"/>
        <w:tabs>
          <w:tab w:val="left" w:pos="1843" w:leader="none"/>
          <w:tab w:val="left" w:pos="9498" w:leader="none"/>
        </w:tabs>
        <w:spacing w:before="0" w:after="0"/>
        <w:ind w:firstLine="720"/>
        <w:contextualSpacing/>
        <w:jc w:val="both"/>
        <w:rPr>
          <w:color w:val="000000"/>
        </w:rPr>
      </w:pPr>
      <w:r>
        <w:rPr>
          <w:color w:val="000000"/>
        </w:rPr>
      </w:r>
    </w:p>
    <w:p>
      <w:pPr>
        <w:pStyle w:val="Normal"/>
        <w:widowControl w:val="false"/>
        <w:tabs>
          <w:tab w:val="left" w:pos="877" w:leader="none"/>
          <w:tab w:val="left" w:pos="3270" w:leader="none"/>
          <w:tab w:val="left" w:pos="3544" w:leader="none"/>
        </w:tabs>
        <w:spacing w:before="0" w:after="0"/>
        <w:contextualSpacing/>
        <w:jc w:val="center"/>
        <w:rPr>
          <w:b/>
          <w:b/>
          <w:color w:val="000000"/>
        </w:rPr>
      </w:pPr>
      <w:r>
        <w:rPr>
          <w:b/>
          <w:color w:val="000000"/>
        </w:rPr>
        <w:t xml:space="preserve">2.4 Предложения органов  местного  самоуправления  и заинтересованных лиц </w:t>
      </w:r>
    </w:p>
    <w:p>
      <w:pPr>
        <w:pStyle w:val="Normal"/>
        <w:widowControl w:val="false"/>
        <w:tabs>
          <w:tab w:val="left" w:pos="3544" w:leader="none"/>
        </w:tabs>
        <w:spacing w:before="285" w:after="0"/>
        <w:ind w:firstLine="709"/>
        <w:contextualSpacing/>
        <w:jc w:val="both"/>
        <w:rPr>
          <w:color w:val="000000"/>
        </w:rPr>
      </w:pPr>
      <w:r>
        <w:rPr>
          <w:color w:val="000000"/>
        </w:rPr>
      </w:r>
    </w:p>
    <w:p>
      <w:pPr>
        <w:pStyle w:val="Normal"/>
        <w:widowControl w:val="false"/>
        <w:tabs>
          <w:tab w:val="left" w:pos="3544" w:leader="none"/>
        </w:tabs>
        <w:spacing w:before="285" w:after="0"/>
        <w:ind w:firstLine="709"/>
        <w:contextualSpacing/>
        <w:jc w:val="both"/>
        <w:rPr>
          <w:color w:val="000000"/>
        </w:rPr>
      </w:pPr>
      <w:r>
        <w:rPr>
          <w:color w:val="000000"/>
        </w:rPr>
        <w:t>Согласно пункту 3 части 5 статьи 29.4 Градостроительного Кодекса Российской Федерации подготовка местных нормативов градостроительного проектирования  осуществляется  с  учетом  предложений  органов  местного самоуправления и заинтересованных лиц.</w:t>
      </w:r>
    </w:p>
    <w:p>
      <w:pPr>
        <w:pStyle w:val="Normal"/>
        <w:widowControl w:val="false"/>
        <w:tabs>
          <w:tab w:val="left" w:pos="3544" w:leader="none"/>
        </w:tabs>
        <w:spacing w:before="285" w:after="0"/>
        <w:ind w:firstLine="709"/>
        <w:contextualSpacing/>
        <w:jc w:val="both"/>
        <w:rPr>
          <w:color w:val="000000"/>
        </w:rPr>
      </w:pPr>
      <w:r>
        <w:rPr>
          <w:color w:val="000000"/>
        </w:rPr>
        <w:t xml:space="preserve">При  подготовке нормативов градостроительного  проектирования муниципального образования «Боханский район» в отдел архитектуры и градостроительства администрации  муниципального образования,   предложений от органов местного самоуправления и заинтересованных лиц не поступало. </w:t>
      </w:r>
    </w:p>
    <w:p>
      <w:pPr>
        <w:pStyle w:val="Normal"/>
        <w:widowControl w:val="false"/>
        <w:tabs>
          <w:tab w:val="left" w:pos="3544" w:leader="none"/>
        </w:tabs>
        <w:ind w:firstLine="709"/>
        <w:jc w:val="both"/>
        <w:rPr>
          <w:color w:val="000000"/>
        </w:rPr>
      </w:pPr>
      <w:r>
        <w:rPr>
          <w:color w:val="000000"/>
        </w:rPr>
      </w:r>
    </w:p>
    <w:p>
      <w:pPr>
        <w:pStyle w:val="Normal"/>
        <w:widowControl w:val="false"/>
        <w:tabs>
          <w:tab w:val="left" w:pos="3544" w:leader="none"/>
        </w:tabs>
        <w:ind w:firstLine="709"/>
        <w:jc w:val="center"/>
        <w:rPr>
          <w:b/>
          <w:b/>
          <w:bCs/>
        </w:rPr>
      </w:pPr>
      <w:r>
        <w:rPr>
          <w:b/>
        </w:rPr>
        <w:t xml:space="preserve">2.5 Расчет показателей </w:t>
      </w:r>
      <w:r>
        <w:rPr>
          <w:b/>
          <w:bCs/>
        </w:rPr>
        <w:t>содержащихся в основной части нормативов градостроительного проектирования</w:t>
      </w:r>
    </w:p>
    <w:p>
      <w:pPr>
        <w:pStyle w:val="Normal"/>
        <w:widowControl w:val="false"/>
        <w:tabs>
          <w:tab w:val="left" w:pos="3544" w:leader="none"/>
        </w:tabs>
        <w:ind w:firstLine="709"/>
        <w:jc w:val="center"/>
        <w:rPr>
          <w:b/>
          <w:b/>
        </w:rPr>
      </w:pPr>
      <w:r>
        <w:rPr>
          <w:b/>
        </w:rPr>
      </w:r>
    </w:p>
    <w:p>
      <w:pPr>
        <w:pStyle w:val="NormalWeb"/>
        <w:tabs>
          <w:tab w:val="left" w:pos="3544" w:leader="none"/>
        </w:tabs>
        <w:spacing w:beforeAutospacing="0" w:before="0" w:afterAutospacing="0" w:after="0"/>
        <w:ind w:firstLine="708"/>
        <w:jc w:val="both"/>
        <w:rPr>
          <w:color w:val="000000"/>
        </w:rPr>
      </w:pPr>
      <w:r>
        <w:rPr>
          <w:color w:val="000000"/>
        </w:rPr>
        <w:t xml:space="preserve">При расчете показателей и предельных значений показателей минимально допустимого уровня обеспеченности и максимально допустимого уровня территориальной доступности учитывались следующие коэффициенты. </w:t>
      </w:r>
    </w:p>
    <w:p>
      <w:pPr>
        <w:pStyle w:val="NormalWeb"/>
        <w:numPr>
          <w:ilvl w:val="0"/>
          <w:numId w:val="8"/>
        </w:numPr>
        <w:spacing w:beforeAutospacing="0" w:before="0" w:afterAutospacing="0" w:after="0"/>
        <w:ind w:left="709" w:hanging="360"/>
        <w:jc w:val="both"/>
        <w:rPr>
          <w:color w:val="000000"/>
        </w:rPr>
      </w:pPr>
      <w:r>
        <w:rPr>
          <w:color w:val="000000"/>
        </w:rPr>
        <w:t>Коэффициент развития, учитывающий демографический прогноз (К</w:t>
      </w:r>
      <w:r>
        <w:rPr>
          <w:color w:val="000000"/>
          <w:vertAlign w:val="subscript"/>
        </w:rPr>
        <w:t>р</w:t>
      </w:r>
      <w:r>
        <w:rPr>
          <w:color w:val="000000"/>
        </w:rPr>
        <w:t xml:space="preserve">) </w:t>
      </w:r>
    </w:p>
    <w:p>
      <w:pPr>
        <w:pStyle w:val="NormalWeb"/>
        <w:tabs>
          <w:tab w:val="left" w:pos="3544" w:leader="none"/>
        </w:tabs>
        <w:spacing w:beforeAutospacing="0" w:before="0" w:afterAutospacing="0" w:after="0"/>
        <w:jc w:val="both"/>
        <w:rPr>
          <w:color w:val="000000"/>
        </w:rPr>
      </w:pPr>
      <w:r>
        <w:rPr>
          <w:color w:val="000000"/>
        </w:rPr>
        <w:t>Коэффициент развития учитывает демографический прогноз численности населения до 2030 г. (К</w:t>
      </w:r>
      <w:r>
        <w:rPr>
          <w:color w:val="000000"/>
          <w:sz w:val="20"/>
          <w:szCs w:val="20"/>
        </w:rPr>
        <w:t xml:space="preserve">р = </w:t>
      </w:r>
      <w:r>
        <w:rPr>
          <w:color w:val="000000"/>
        </w:rPr>
        <w:t>1,05)</w:t>
      </w:r>
    </w:p>
    <w:tbl>
      <w:tblPr>
        <w:tblW w:w="11045" w:type="dxa"/>
        <w:jc w:val="left"/>
        <w:tblInd w:w="0" w:type="dxa"/>
        <w:tblBorders/>
        <w:tblCellMar>
          <w:top w:w="0" w:type="dxa"/>
          <w:left w:w="30" w:type="dxa"/>
          <w:bottom w:w="0" w:type="dxa"/>
          <w:right w:w="30" w:type="dxa"/>
        </w:tblCellMar>
        <w:tblLook w:val="0000"/>
      </w:tblPr>
      <w:tblGrid>
        <w:gridCol w:w="2901"/>
        <w:gridCol w:w="2080"/>
        <w:gridCol w:w="1010"/>
        <w:gridCol w:w="1011"/>
        <w:gridCol w:w="1011"/>
        <w:gridCol w:w="1010"/>
        <w:gridCol w:w="1011"/>
        <w:gridCol w:w="1009"/>
      </w:tblGrid>
      <w:tr>
        <w:trPr>
          <w:trHeight w:val="247" w:hRule="atLeast"/>
        </w:trPr>
        <w:tc>
          <w:tcPr>
            <w:tcW w:w="2901" w:type="dxa"/>
            <w:tcBorders/>
            <w:shd w:fill="auto" w:val="clear"/>
          </w:tcPr>
          <w:p>
            <w:pPr>
              <w:pStyle w:val="Normal"/>
              <w:rPr>
                <w:rFonts w:ascii="Arial" w:hAnsi="Arial" w:cs="Arial"/>
                <w:color w:val="000000"/>
                <w:sz w:val="20"/>
                <w:szCs w:val="20"/>
              </w:rPr>
            </w:pPr>
            <w:r>
              <w:rPr>
                <w:rFonts w:cs="Arial" w:ascii="Arial" w:hAnsi="Arial"/>
                <w:color w:val="000000"/>
                <w:sz w:val="20"/>
                <w:szCs w:val="20"/>
              </w:rPr>
            </w:r>
          </w:p>
        </w:tc>
        <w:tc>
          <w:tcPr>
            <w:tcW w:w="208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47" w:hRule="atLeast"/>
        </w:trPr>
        <w:tc>
          <w:tcPr>
            <w:tcW w:w="290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208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bl>
    <w:p>
      <w:pPr>
        <w:pStyle w:val="Normal"/>
        <w:ind w:firstLine="709"/>
        <w:jc w:val="both"/>
        <w:rPr/>
      </w:pPr>
      <w:r>
        <w:rPr/>
        <w:t xml:space="preserve">Данные об ожидаемом уровне компонентов прироста населения Боханского района на конец первой очереди и расчётного срока согласно оптимистическому варианту представлены в нижеследующей таблице №1. </w:t>
      </w:r>
    </w:p>
    <w:p>
      <w:pPr>
        <w:pStyle w:val="Normal"/>
        <w:tabs>
          <w:tab w:val="left" w:pos="4110" w:leader="none"/>
        </w:tabs>
        <w:ind w:right="638" w:hanging="0"/>
        <w:jc w:val="right"/>
        <w:rPr/>
      </w:pPr>
      <w:r>
        <w:rPr/>
        <w:t>Таблица №1</w:t>
      </w:r>
    </w:p>
    <w:tbl>
      <w:tblPr>
        <w:tblW w:w="778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1051"/>
        <w:gridCol w:w="2590"/>
        <w:gridCol w:w="1294"/>
        <w:gridCol w:w="1389"/>
        <w:gridCol w:w="1456"/>
      </w:tblGrid>
      <w:tr>
        <w:trPr>
          <w:trHeight w:val="476"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w:t>
            </w:r>
            <w:r>
              <w:rPr/>
              <w:t>п.п.</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Показатели</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2010</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 очередь (2020г.)</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Расчетный срок (2030г.)</w:t>
            </w:r>
          </w:p>
        </w:tc>
      </w:tr>
      <w:tr>
        <w:trPr>
          <w:trHeight w:val="224"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1</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2</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3</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5</w:t>
            </w:r>
          </w:p>
        </w:tc>
      </w:tr>
      <w:tr>
        <w:trPr>
          <w:trHeight w:val="224"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1</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Население (тыс. чел.)</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27,7</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27,0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lang w:val="en-US"/>
              </w:rPr>
            </w:pPr>
            <w:r>
              <w:rPr>
                <w:lang w:val="en-US"/>
              </w:rPr>
              <w:t>27</w:t>
            </w:r>
            <w:r>
              <w:rPr/>
              <w:t>,</w:t>
            </w:r>
            <w:r>
              <w:rPr>
                <w:lang w:val="en-US"/>
              </w:rPr>
              <w:t>7</w:t>
            </w:r>
          </w:p>
        </w:tc>
      </w:tr>
      <w:tr>
        <w:trPr>
          <w:trHeight w:val="643"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2</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Естественный прирост (чел. на 1000 жителей)</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7,6</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2,0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11,1</w:t>
            </w:r>
          </w:p>
        </w:tc>
      </w:tr>
      <w:tr>
        <w:trPr>
          <w:trHeight w:val="611"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3</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Рождаемость (чел. на 1000 жителей)</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19,9</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15,0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21,0</w:t>
            </w:r>
          </w:p>
        </w:tc>
      </w:tr>
      <w:tr>
        <w:trPr>
          <w:trHeight w:val="355"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4</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Смертность (чел. на 1000 жителей)</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12,3</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13,0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11,0</w:t>
            </w:r>
          </w:p>
        </w:tc>
      </w:tr>
      <w:tr>
        <w:trPr>
          <w:trHeight w:val="224"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5</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Механический прирост (чел. на 1000 жителей)</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0,5</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-4,5</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1,0</w:t>
            </w:r>
          </w:p>
        </w:tc>
      </w:tr>
    </w:tbl>
    <w:p>
      <w:pPr>
        <w:pStyle w:val="Normal"/>
        <w:ind w:firstLine="709"/>
        <w:jc w:val="both"/>
        <w:rPr/>
      </w:pPr>
      <w:r>
        <w:rPr/>
        <w:t>На основании анализа данных, по современному возрастному составу населения и протекающих демографических и социально-экономических процессов, в таблице №2 приведены предположительные данные о возрастном составе населения Боханского района.</w:t>
      </w:r>
    </w:p>
    <w:p>
      <w:pPr>
        <w:pStyle w:val="Normal"/>
        <w:tabs>
          <w:tab w:val="left" w:pos="4110" w:leader="none"/>
        </w:tabs>
        <w:spacing w:before="120" w:after="0"/>
        <w:jc w:val="center"/>
        <w:rPr/>
      </w:pPr>
      <w:r>
        <w:rPr>
          <w:b/>
        </w:rPr>
        <w:t>Прогнозируемый возрастной состав населения Боханского района</w:t>
      </w:r>
      <w:r>
        <w:rPr/>
        <w:t>, тыс. чел.%% (приближённо)</w:t>
      </w:r>
    </w:p>
    <w:p>
      <w:pPr>
        <w:pStyle w:val="Normal"/>
        <w:tabs>
          <w:tab w:val="left" w:pos="4110" w:leader="none"/>
        </w:tabs>
        <w:ind w:right="251" w:firstLine="720"/>
        <w:jc w:val="right"/>
        <w:rPr/>
      </w:pPr>
      <w:r>
        <w:rPr/>
        <w:t>Таблица №2</w:t>
      </w:r>
    </w:p>
    <w:tbl>
      <w:tblPr>
        <w:tblW w:w="957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456"/>
        <w:gridCol w:w="2740"/>
        <w:gridCol w:w="1511"/>
        <w:gridCol w:w="1593"/>
        <w:gridCol w:w="1616"/>
        <w:gridCol w:w="1654"/>
      </w:tblGrid>
      <w:tr>
        <w:trPr>
          <w:trHeight w:val="551" w:hRule="atLeast"/>
        </w:trPr>
        <w:tc>
          <w:tcPr>
            <w:tcW w:w="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ind w:left="-180" w:right="-108" w:hanging="0"/>
              <w:jc w:val="center"/>
              <w:rPr/>
            </w:pPr>
            <w:r>
              <w:rPr/>
              <w:t xml:space="preserve">№№ </w:t>
            </w:r>
            <w:r>
              <w:rPr/>
              <w:t>п/п</w:t>
            </w:r>
          </w:p>
        </w:tc>
        <w:tc>
          <w:tcPr>
            <w:tcW w:w="2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Возрастной состав населения</w:t>
            </w:r>
          </w:p>
        </w:tc>
        <w:tc>
          <w:tcPr>
            <w:tcW w:w="1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jc w:val="center"/>
              <w:rPr/>
            </w:pPr>
            <w:r>
              <w:rPr/>
              <w:t>единица измерения</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2010г.</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 очередь (2020г.)</w:t>
            </w:r>
          </w:p>
        </w:tc>
        <w:tc>
          <w:tcPr>
            <w:tcW w:w="1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Расчетный срок (2030г.)</w:t>
            </w:r>
          </w:p>
        </w:tc>
      </w:tr>
      <w:tr>
        <w:trPr>
          <w:trHeight w:val="88" w:hRule="atLeast"/>
        </w:trPr>
        <w:tc>
          <w:tcPr>
            <w:tcW w:w="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ind w:left="-180" w:right="-108" w:hanging="0"/>
              <w:jc w:val="center"/>
              <w:rPr/>
            </w:pPr>
            <w:r>
              <w:rPr/>
              <w:t>1</w:t>
            </w:r>
          </w:p>
        </w:tc>
        <w:tc>
          <w:tcPr>
            <w:tcW w:w="2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jc w:val="center"/>
              <w:rPr/>
            </w:pPr>
            <w:r>
              <w:rPr/>
              <w:t>2</w:t>
            </w:r>
          </w:p>
        </w:tc>
        <w:tc>
          <w:tcPr>
            <w:tcW w:w="1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jc w:val="center"/>
              <w:rPr/>
            </w:pPr>
            <w:r>
              <w:rPr/>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jc w:val="center"/>
              <w:rPr/>
            </w:pPr>
            <w:r>
              <w:rPr/>
              <w:t>3</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jc w:val="center"/>
              <w:rPr/>
            </w:pPr>
            <w:r>
              <w:rPr/>
              <w:t>4</w:t>
            </w:r>
          </w:p>
        </w:tc>
        <w:tc>
          <w:tcPr>
            <w:tcW w:w="1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jc w:val="center"/>
              <w:rPr/>
            </w:pPr>
            <w:r>
              <w:rPr/>
              <w:t>5</w:t>
            </w:r>
          </w:p>
        </w:tc>
      </w:tr>
      <w:tr>
        <w:trPr>
          <w:trHeight w:val="258" w:hRule="atLeast"/>
        </w:trPr>
        <w:tc>
          <w:tcPr>
            <w:tcW w:w="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ind w:left="-180" w:right="-108" w:hanging="0"/>
              <w:jc w:val="center"/>
              <w:rPr/>
            </w:pPr>
            <w:r>
              <w:rPr/>
              <w:t>1</w:t>
            </w:r>
          </w:p>
        </w:tc>
        <w:tc>
          <w:tcPr>
            <w:tcW w:w="2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Младше трудоспособного</w:t>
            </w:r>
          </w:p>
        </w:tc>
        <w:tc>
          <w:tcPr>
            <w:tcW w:w="1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u w:val="single"/>
              </w:rPr>
            </w:pPr>
            <w:r>
              <w:rPr>
                <w:u w:val="single"/>
              </w:rPr>
              <w:t>тыс. чел.</w:t>
            </w:r>
          </w:p>
          <w:p>
            <w:pPr>
              <w:pStyle w:val="Normal"/>
              <w:jc w:val="center"/>
              <w:rPr/>
            </w:pPr>
            <w:r>
              <w:rPr/>
              <w:t>%</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6,6</w:t>
            </w:r>
          </w:p>
          <w:p>
            <w:pPr>
              <w:pStyle w:val="Normal"/>
              <w:jc w:val="center"/>
              <w:rPr/>
            </w:pPr>
            <w:r>
              <w:rPr/>
              <w:t>23,8</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5,7</w:t>
            </w:r>
          </w:p>
          <w:p>
            <w:pPr>
              <w:pStyle w:val="Normal"/>
              <w:jc w:val="center"/>
              <w:rPr/>
            </w:pPr>
            <w:r>
              <w:rPr/>
              <w:t>21,0</w:t>
            </w:r>
          </w:p>
        </w:tc>
        <w:tc>
          <w:tcPr>
            <w:tcW w:w="1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6,4</w:t>
            </w:r>
          </w:p>
          <w:p>
            <w:pPr>
              <w:pStyle w:val="Normal"/>
              <w:jc w:val="center"/>
              <w:rPr/>
            </w:pPr>
            <w:r>
              <w:rPr/>
              <w:t>23,0</w:t>
            </w:r>
          </w:p>
        </w:tc>
      </w:tr>
      <w:tr>
        <w:trPr>
          <w:trHeight w:val="88" w:hRule="atLeast"/>
        </w:trPr>
        <w:tc>
          <w:tcPr>
            <w:tcW w:w="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ind w:left="-180" w:right="-108" w:hanging="0"/>
              <w:jc w:val="center"/>
              <w:rPr/>
            </w:pPr>
            <w:r>
              <w:rPr/>
              <w:t>2</w:t>
            </w:r>
          </w:p>
        </w:tc>
        <w:tc>
          <w:tcPr>
            <w:tcW w:w="2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Трудоспособного</w:t>
            </w:r>
          </w:p>
        </w:tc>
        <w:tc>
          <w:tcPr>
            <w:tcW w:w="1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u w:val="single"/>
              </w:rPr>
            </w:pPr>
            <w:r>
              <w:rPr>
                <w:u w:val="single"/>
              </w:rPr>
              <w:t>тыс. чел.</w:t>
            </w:r>
          </w:p>
          <w:p>
            <w:pPr>
              <w:pStyle w:val="Normal"/>
              <w:jc w:val="center"/>
              <w:rPr/>
            </w:pPr>
            <w:r>
              <w:rPr/>
              <w:t>%</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16,9</w:t>
            </w:r>
          </w:p>
          <w:p>
            <w:pPr>
              <w:pStyle w:val="Normal"/>
              <w:jc w:val="center"/>
              <w:rPr/>
            </w:pPr>
            <w:r>
              <w:rPr/>
              <w:t>61,1</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17,0</w:t>
            </w:r>
          </w:p>
          <w:p>
            <w:pPr>
              <w:pStyle w:val="Normal"/>
              <w:jc w:val="center"/>
              <w:rPr/>
            </w:pPr>
            <w:r>
              <w:rPr/>
              <w:t>63,0</w:t>
            </w:r>
          </w:p>
        </w:tc>
        <w:tc>
          <w:tcPr>
            <w:tcW w:w="1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lang w:val="en-US"/>
              </w:rPr>
            </w:pPr>
            <w:r>
              <w:rPr>
                <w:u w:val="single"/>
              </w:rPr>
              <w:t>17,</w:t>
            </w:r>
            <w:r>
              <w:rPr>
                <w:u w:val="single"/>
                <w:lang w:val="en-US"/>
              </w:rPr>
              <w:t>4</w:t>
            </w:r>
          </w:p>
          <w:p>
            <w:pPr>
              <w:pStyle w:val="Normal"/>
              <w:jc w:val="center"/>
              <w:rPr/>
            </w:pPr>
            <w:r>
              <w:rPr/>
              <w:t>63,0</w:t>
            </w:r>
          </w:p>
        </w:tc>
      </w:tr>
      <w:tr>
        <w:trPr>
          <w:trHeight w:val="176" w:hRule="atLeast"/>
        </w:trPr>
        <w:tc>
          <w:tcPr>
            <w:tcW w:w="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ind w:left="-180" w:right="-108" w:hanging="0"/>
              <w:jc w:val="center"/>
              <w:rPr/>
            </w:pPr>
            <w:r>
              <w:rPr/>
              <w:t>3</w:t>
            </w:r>
          </w:p>
        </w:tc>
        <w:tc>
          <w:tcPr>
            <w:tcW w:w="2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Старше трудоспособного</w:t>
            </w:r>
          </w:p>
        </w:tc>
        <w:tc>
          <w:tcPr>
            <w:tcW w:w="1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u w:val="single"/>
              </w:rPr>
            </w:pPr>
            <w:r>
              <w:rPr>
                <w:u w:val="single"/>
              </w:rPr>
              <w:t>тыс. чел.</w:t>
            </w:r>
          </w:p>
          <w:p>
            <w:pPr>
              <w:pStyle w:val="Normal"/>
              <w:jc w:val="center"/>
              <w:rPr/>
            </w:pPr>
            <w:r>
              <w:rPr/>
              <w:t>%</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4,2</w:t>
            </w:r>
          </w:p>
          <w:p>
            <w:pPr>
              <w:pStyle w:val="Normal"/>
              <w:jc w:val="center"/>
              <w:rPr/>
            </w:pPr>
            <w:r>
              <w:rPr/>
              <w:t>15,1</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4,3</w:t>
            </w:r>
          </w:p>
          <w:p>
            <w:pPr>
              <w:pStyle w:val="Normal"/>
              <w:jc w:val="center"/>
              <w:rPr/>
            </w:pPr>
            <w:r>
              <w:rPr/>
              <w:t>16,0</w:t>
            </w:r>
          </w:p>
        </w:tc>
        <w:tc>
          <w:tcPr>
            <w:tcW w:w="1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3,9</w:t>
            </w:r>
          </w:p>
          <w:p>
            <w:pPr>
              <w:pStyle w:val="Normal"/>
              <w:jc w:val="center"/>
              <w:rPr/>
            </w:pPr>
            <w:r>
              <w:rPr/>
              <w:t>14,0</w:t>
            </w:r>
          </w:p>
        </w:tc>
      </w:tr>
    </w:tbl>
    <w:p>
      <w:pPr>
        <w:pStyle w:val="Normal"/>
        <w:tabs>
          <w:tab w:val="left" w:pos="3544" w:leader="none"/>
        </w:tabs>
        <w:jc w:val="both"/>
        <w:rPr>
          <w:color w:val="000000"/>
          <w:sz w:val="20"/>
          <w:szCs w:val="20"/>
        </w:rPr>
      </w:pPr>
      <w:r>
        <w:rPr>
          <w:color w:val="000000"/>
          <w:sz w:val="20"/>
          <w:szCs w:val="20"/>
        </w:rPr>
      </w:r>
    </w:p>
    <w:p>
      <w:pPr>
        <w:pStyle w:val="NormalWeb"/>
        <w:numPr>
          <w:ilvl w:val="0"/>
          <w:numId w:val="8"/>
        </w:numPr>
        <w:spacing w:beforeAutospacing="0" w:before="0" w:afterAutospacing="0" w:after="0"/>
        <w:ind w:left="0" w:firstLine="284"/>
        <w:jc w:val="both"/>
        <w:rPr/>
      </w:pPr>
      <w:r>
        <w:rPr/>
        <w:t>Коэффициент, учитывающий природно-климатические особенности (К</w:t>
      </w:r>
      <w:r>
        <w:rPr>
          <w:vertAlign w:val="subscript"/>
        </w:rPr>
        <w:t>пк</w:t>
      </w:r>
      <w:r>
        <w:rPr/>
        <w:t>=1).</w:t>
      </w:r>
    </w:p>
    <w:p>
      <w:pPr>
        <w:pStyle w:val="NormalWeb"/>
        <w:spacing w:beforeAutospacing="0" w:before="0" w:afterAutospacing="0" w:after="0"/>
        <w:jc w:val="both"/>
        <w:rPr/>
      </w:pPr>
      <w:r>
        <w:rPr/>
        <w:t xml:space="preserve">Коэффициент  основан  на  дифференциации  муниципальных  образований  по географическим и природно-климатическим признакам. </w:t>
      </w:r>
    </w:p>
    <w:tbl>
      <w:tblPr>
        <w:tblW w:w="957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3180"/>
        <w:gridCol w:w="3195"/>
        <w:gridCol w:w="3196"/>
      </w:tblGrid>
      <w:tr>
        <w:trPr/>
        <w:tc>
          <w:tcPr>
            <w:tcW w:w="31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r>
          </w:p>
        </w:tc>
        <w:tc>
          <w:tcPr>
            <w:tcW w:w="31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center"/>
              <w:rPr/>
            </w:pPr>
            <w:r>
              <w:rPr/>
              <w:t>Природно-климатические условия</w:t>
            </w:r>
          </w:p>
        </w:tc>
        <w:tc>
          <w:tcPr>
            <w:tcW w:w="3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center"/>
              <w:rPr/>
            </w:pPr>
            <w:r>
              <w:rPr/>
              <w:t>Коэффициент природно-климатических условий</w:t>
            </w:r>
          </w:p>
        </w:tc>
      </w:tr>
      <w:tr>
        <w:trPr/>
        <w:tc>
          <w:tcPr>
            <w:tcW w:w="31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center"/>
              <w:rPr/>
            </w:pPr>
            <w:r>
              <w:rPr/>
              <w:t>Боханский район</w:t>
            </w:r>
          </w:p>
        </w:tc>
        <w:tc>
          <w:tcPr>
            <w:tcW w:w="31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center"/>
              <w:rPr/>
            </w:pPr>
            <w:r>
              <w:rPr/>
              <w:t>Благоприятные</w:t>
            </w:r>
          </w:p>
        </w:tc>
        <w:tc>
          <w:tcPr>
            <w:tcW w:w="3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center"/>
              <w:rPr/>
            </w:pPr>
            <w:r>
              <w:rPr/>
              <w:t>1</w:t>
            </w:r>
          </w:p>
        </w:tc>
      </w:tr>
    </w:tbl>
    <w:p>
      <w:pPr>
        <w:pStyle w:val="NormalWeb"/>
        <w:spacing w:beforeAutospacing="0" w:before="0" w:afterAutospacing="0" w:after="0"/>
        <w:jc w:val="both"/>
        <w:rPr/>
      </w:pPr>
      <w:r>
        <w:rPr/>
      </w:r>
    </w:p>
    <w:p>
      <w:pPr>
        <w:pStyle w:val="NormalWeb"/>
        <w:numPr>
          <w:ilvl w:val="0"/>
          <w:numId w:val="8"/>
        </w:numPr>
        <w:tabs>
          <w:tab w:val="left" w:pos="284" w:leader="none"/>
        </w:tabs>
        <w:spacing w:beforeAutospacing="0" w:before="0" w:afterAutospacing="0" w:after="0"/>
        <w:ind w:left="709" w:hanging="360"/>
        <w:jc w:val="both"/>
        <w:rPr/>
      </w:pPr>
      <w:r>
        <w:rPr/>
        <w:t>Коэффициент техногенной нагрузки (К</w:t>
      </w:r>
      <w:r>
        <w:rPr>
          <w:vertAlign w:val="subscript"/>
          <w:lang w:val="en-US"/>
        </w:rPr>
        <w:t>тн</w:t>
      </w:r>
      <w:r>
        <w:rPr/>
        <w:t>=1.2)</w:t>
      </w:r>
    </w:p>
    <w:p>
      <w:pPr>
        <w:pStyle w:val="NormalWeb"/>
        <w:tabs>
          <w:tab w:val="left" w:pos="3544" w:leader="none"/>
        </w:tabs>
        <w:spacing w:beforeAutospacing="0" w:before="0" w:afterAutospacing="0" w:after="0"/>
        <w:jc w:val="both"/>
        <w:rPr/>
      </w:pPr>
      <w:r>
        <w:rPr/>
        <w:t xml:space="preserve">Коэффициент  учитывает  существующее  и  планируемое  развитие  на  территории производственных  объектов,  транспортную  нагрузку  и  темпы  жилищного  строительства, которые определяют антропогенную и техногенную нагрузку на территорию, экологическое состояние  среды.  Данный  коэффициент  определяет  экологические  риски  для  здоровья населения. </w:t>
      </w:r>
    </w:p>
    <w:p>
      <w:pPr>
        <w:pStyle w:val="NormalWeb"/>
        <w:numPr>
          <w:ilvl w:val="0"/>
          <w:numId w:val="8"/>
        </w:numPr>
        <w:spacing w:beforeAutospacing="0" w:before="0" w:afterAutospacing="0" w:after="0"/>
        <w:ind w:left="0" w:firstLine="284"/>
        <w:jc w:val="both"/>
        <w:rPr/>
      </w:pPr>
      <w:r>
        <w:rPr/>
        <w:t>Коэффициент для объектов образования (К=1,2)</w:t>
      </w:r>
    </w:p>
    <w:p>
      <w:pPr>
        <w:pStyle w:val="NormalWeb"/>
        <w:spacing w:beforeAutospacing="0" w:before="0" w:afterAutospacing="0" w:after="0"/>
        <w:contextualSpacing/>
        <w:jc w:val="both"/>
        <w:rPr/>
      </w:pPr>
      <w:r>
        <w:rPr/>
        <w:t>Коэффициент  отражает  насколько  утвержденными  документами  предусмотрено развитие научно-технического, образовательного, инновационного потенциала в районе.</w:t>
      </w:r>
    </w:p>
    <w:tbl>
      <w:tblPr>
        <w:tblW w:w="9571"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3185"/>
        <w:gridCol w:w="3193"/>
        <w:gridCol w:w="3193"/>
      </w:tblGrid>
      <w:tr>
        <w:trPr/>
        <w:tc>
          <w:tcPr>
            <w:tcW w:w="31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contextualSpacing/>
              <w:jc w:val="both"/>
              <w:rPr/>
            </w:pPr>
            <w:r>
              <w:rPr/>
            </w:r>
          </w:p>
        </w:tc>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contextualSpacing/>
              <w:jc w:val="center"/>
              <w:rPr/>
            </w:pPr>
            <w:r>
              <w:rPr/>
              <w:t>Планируемые мероприятия</w:t>
            </w:r>
          </w:p>
        </w:tc>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contextualSpacing/>
              <w:jc w:val="center"/>
              <w:rPr/>
            </w:pPr>
            <w:r>
              <w:rPr/>
              <w:t>Коэффициент для объектов образования</w:t>
            </w:r>
          </w:p>
        </w:tc>
      </w:tr>
      <w:tr>
        <w:trPr/>
        <w:tc>
          <w:tcPr>
            <w:tcW w:w="31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contextualSpacing/>
              <w:jc w:val="both"/>
              <w:rPr/>
            </w:pPr>
            <w:r>
              <w:rPr/>
              <w:t>Боханский район</w:t>
            </w:r>
          </w:p>
        </w:tc>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contextualSpacing/>
              <w:jc w:val="center"/>
              <w:rPr>
                <w:sz w:val="20"/>
                <w:szCs w:val="20"/>
              </w:rPr>
            </w:pPr>
            <w:r>
              <w:rPr>
                <w:sz w:val="20"/>
                <w:szCs w:val="20"/>
              </w:rPr>
              <w:t>Формирование инновационного пояса опережающего развития</w:t>
            </w:r>
          </w:p>
        </w:tc>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contextualSpacing/>
              <w:jc w:val="center"/>
              <w:rPr/>
            </w:pPr>
            <w:r>
              <w:rPr/>
              <w:t>1,2</w:t>
            </w:r>
          </w:p>
        </w:tc>
      </w:tr>
    </w:tbl>
    <w:p>
      <w:pPr>
        <w:pStyle w:val="NormalWeb"/>
        <w:spacing w:beforeAutospacing="0" w:before="0" w:afterAutospacing="0" w:after="0"/>
        <w:contextualSpacing/>
        <w:jc w:val="both"/>
        <w:rPr/>
      </w:pPr>
      <w:r>
        <w:rPr/>
        <w:t xml:space="preserve">   </w:t>
      </w:r>
      <w:r>
        <w:rPr/>
        <w:t xml:space="preserve">Вводятся  иные  повышающие  и  понижающие  коэффициенты  для  различных объектов обслуживания населения. </w:t>
      </w:r>
    </w:p>
    <w:p>
      <w:pPr>
        <w:pStyle w:val="NormalWeb"/>
        <w:spacing w:beforeAutospacing="0" w:before="0" w:afterAutospacing="0" w:after="0"/>
        <w:contextualSpacing/>
        <w:jc w:val="both"/>
        <w:rPr/>
      </w:pPr>
      <w:r>
        <w:rPr/>
        <w:t xml:space="preserve">    </w:t>
      </w:r>
      <w:r>
        <w:rPr/>
        <w:t>Развитее экономической базы Боханского района и создание новых рабочих мест повлекут за собой изменение структуры занятости населения района. На перспективу предполагается увеличение числа занятых в сельском хозяйстве, перерабатывающей промышленности (в первую очередь пищевой и производстве строительных материалов), а также в сфере обслуживания. Проектная структура занятости населения Боханского района по видам экономической деятельности на 2030г. представлена на нижеследующем рисунке №1.</w:t>
      </w:r>
    </w:p>
    <w:p>
      <w:pPr>
        <w:pStyle w:val="Normal"/>
        <w:spacing w:before="120" w:after="0"/>
        <w:jc w:val="center"/>
        <w:rPr>
          <w:b/>
          <w:b/>
        </w:rPr>
      </w:pPr>
      <w:r>
        <w:rPr>
          <w:b/>
        </w:rPr>
        <w:t xml:space="preserve">Проектная структура занятости по видам экономической деятельности </w:t>
      </w:r>
    </w:p>
    <w:p>
      <w:pPr>
        <w:pStyle w:val="Normal"/>
        <w:jc w:val="center"/>
        <w:rPr>
          <w:b/>
          <w:b/>
        </w:rPr>
      </w:pPr>
      <w:r>
        <w:rPr>
          <w:b/>
        </w:rPr>
        <w:t>2030 год.</w:t>
      </w:r>
    </w:p>
    <w:p>
      <w:pPr>
        <w:pStyle w:val="Normal"/>
        <w:jc w:val="center"/>
        <w:rPr/>
      </w:pPr>
      <w:r>
        <w:rPr/>
        <w:drawing>
          <wp:inline distT="0" distB="0" distL="0" distR="0">
            <wp:extent cx="5454650" cy="2616200"/>
            <wp:effectExtent l="0" t="0" r="0" b="0"/>
            <wp:docPr id="1"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2" descr=""/>
                    <pic:cNvPicPr>
                      <a:picLocks noChangeAspect="1" noChangeArrowheads="1"/>
                    </pic:cNvPicPr>
                  </pic:nvPicPr>
                  <pic:blipFill>
                    <a:blip r:embed="rId2"/>
                    <a:stretch>
                      <a:fillRect/>
                    </a:stretch>
                  </pic:blipFill>
                  <pic:spPr bwMode="auto">
                    <a:xfrm>
                      <a:off x="0" y="0"/>
                      <a:ext cx="5454650" cy="2616200"/>
                    </a:xfrm>
                    <a:prstGeom prst="rect">
                      <a:avLst/>
                    </a:prstGeom>
                  </pic:spPr>
                </pic:pic>
              </a:graphicData>
            </a:graphic>
          </wp:inline>
        </w:drawing>
      </w:r>
    </w:p>
    <w:p>
      <w:pPr>
        <w:pStyle w:val="Normal"/>
        <w:jc w:val="center"/>
        <w:rPr/>
      </w:pPr>
      <w:r>
        <w:rPr/>
        <w:t>Рис. 1</w:t>
      </w:r>
    </w:p>
    <w:p>
      <w:pPr>
        <w:pStyle w:val="Normal"/>
        <w:numPr>
          <w:ilvl w:val="0"/>
          <w:numId w:val="0"/>
        </w:numPr>
        <w:tabs>
          <w:tab w:val="left" w:pos="3544" w:leader="none"/>
        </w:tabs>
        <w:ind w:firstLine="540"/>
        <w:jc w:val="center"/>
        <w:outlineLvl w:val="1"/>
        <w:rPr>
          <w:b/>
          <w:b/>
        </w:rPr>
      </w:pPr>
      <w:r>
        <w:rPr>
          <w:b/>
        </w:rPr>
      </w:r>
    </w:p>
    <w:p>
      <w:pPr>
        <w:pStyle w:val="Normal"/>
        <w:ind w:firstLine="720"/>
        <w:jc w:val="center"/>
        <w:rPr>
          <w:b/>
          <w:b/>
        </w:rPr>
      </w:pPr>
      <w:r>
        <w:rPr>
          <w:b/>
        </w:rPr>
        <w:t>2.5.1 Объекты здравоохранения.</w:t>
      </w:r>
    </w:p>
    <w:p>
      <w:pPr>
        <w:pStyle w:val="Normal"/>
        <w:ind w:firstLine="709"/>
        <w:jc w:val="both"/>
        <w:rPr>
          <w:b/>
          <w:b/>
        </w:rPr>
      </w:pPr>
      <w:r>
        <w:rPr>
          <w:b/>
        </w:rPr>
      </w:r>
    </w:p>
    <w:p>
      <w:pPr>
        <w:pStyle w:val="Normal"/>
        <w:ind w:firstLine="709"/>
        <w:jc w:val="both"/>
        <w:rPr>
          <w:b/>
          <w:b/>
        </w:rPr>
      </w:pPr>
      <w:r>
        <w:rPr>
          <w:b/>
        </w:rPr>
        <w:t>Расчетные показатели минимально допустимого уровня обеспеченности  объектами здравоохранения местного значения населения муниципального образования «Боханский район».</w:t>
      </w:r>
    </w:p>
    <w:p>
      <w:pPr>
        <w:pStyle w:val="Normal"/>
        <w:ind w:firstLine="709"/>
        <w:jc w:val="center"/>
        <w:rPr>
          <w:b/>
          <w:b/>
        </w:rPr>
      </w:pPr>
      <w:r>
        <w:rPr>
          <w:b/>
          <w:color w:val="000000"/>
        </w:rPr>
        <w:t>Базовые показатели обеспеченности объектами здравоохранения населения мун</w:t>
      </w:r>
      <w:r>
        <w:rPr>
          <w:b/>
        </w:rPr>
        <w:t>иципального образования «Боханский район».</w:t>
      </w:r>
    </w:p>
    <w:p>
      <w:pPr>
        <w:pStyle w:val="Normal"/>
        <w:widowControl w:val="false"/>
        <w:tabs>
          <w:tab w:val="left" w:pos="3544" w:leader="none"/>
        </w:tabs>
        <w:spacing w:lineRule="exact" w:line="285"/>
        <w:jc w:val="right"/>
        <w:rPr/>
      </w:pPr>
      <w:r>
        <w:rPr/>
        <w:t xml:space="preserve">Таблица 1 </w:t>
      </w:r>
    </w:p>
    <w:tbl>
      <w:tblPr>
        <w:tblW w:w="957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2392"/>
        <w:gridCol w:w="2392"/>
        <w:gridCol w:w="2393"/>
        <w:gridCol w:w="2392"/>
      </w:tblGrid>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Наименование объектов</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Единица измерения</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величина</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обоснование</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 xml:space="preserve">Амбулаторно-поликлинические учреждения </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посещений в смену на 1 тыс.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18,15</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Социальные нормативы и нормы, утвержденные Распоряжением Правительства РФ от 03.07.1996г. № 1063-р</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 xml:space="preserve">Больничные учреждения* </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коек на 1 тыс. чел.</w:t>
            </w:r>
          </w:p>
        </w:tc>
        <w:tc>
          <w:tcPr>
            <w:tcW w:w="478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По заданию на проектирование, определяемому органами здравоохранения</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 xml:space="preserve">Диспансеры </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посещений в смену, коек на 1 тыс. чел.</w:t>
            </w:r>
          </w:p>
        </w:tc>
        <w:tc>
          <w:tcPr>
            <w:tcW w:w="478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По заданию на проектирование, определяемому органами здравоохранения</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Станции скорой медицинской помощи</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автомобиль на 10 тыс.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 на 5 тыс. чел. в сельских населенных пунктах*</w:t>
            </w:r>
          </w:p>
        </w:tc>
        <w:tc>
          <w:tcPr>
            <w:tcW w:w="23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Социальные нормативы и нормы, утвержденные Распоряжением Правительства РФ от 03.07.1996г. № 1063-р</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Фельдшерско-акушерские пункты</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объект в населенном пункте 100-1200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 объект на населенный пункт с численностью 100-1200 чел.</w:t>
            </w:r>
          </w:p>
        </w:tc>
        <w:tc>
          <w:tcPr>
            <w:tcW w:w="23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Аптеки</w:t>
            </w:r>
          </w:p>
          <w:p>
            <w:pPr>
              <w:pStyle w:val="Normal"/>
              <w:jc w:val="center"/>
              <w:rPr/>
            </w:pPr>
            <w:r>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объект</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 на 6,2 тыс. чел.</w:t>
            </w:r>
          </w:p>
        </w:tc>
        <w:tc>
          <w:tcPr>
            <w:tcW w:w="23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ind w:firstLine="709"/>
        <w:jc w:val="both"/>
        <w:rPr>
          <w:sz w:val="20"/>
          <w:szCs w:val="20"/>
        </w:rPr>
      </w:pPr>
      <w:r>
        <w:rPr>
          <w:b/>
          <w:sz w:val="20"/>
          <w:szCs w:val="20"/>
        </w:rPr>
        <w:t xml:space="preserve">* - </w:t>
      </w:r>
      <w:r>
        <w:rPr>
          <w:sz w:val="20"/>
          <w:szCs w:val="20"/>
        </w:rPr>
        <w:t>Участковая больница, расположенная в поселковом поселении, обслуживает комплекс сельских поселений. С учетом численности  населения  возможна сельская участковая больница.</w:t>
      </w:r>
    </w:p>
    <w:p>
      <w:pPr>
        <w:pStyle w:val="Normal"/>
        <w:tabs>
          <w:tab w:val="left" w:pos="3544" w:leader="none"/>
        </w:tabs>
        <w:ind w:firstLine="720"/>
        <w:jc w:val="both"/>
        <w:rPr>
          <w:color w:val="000000"/>
        </w:rPr>
      </w:pPr>
      <w:r>
        <w:rPr>
          <w:color w:val="000000"/>
        </w:rPr>
      </w:r>
    </w:p>
    <w:p>
      <w:pPr>
        <w:pStyle w:val="Normal"/>
        <w:tabs>
          <w:tab w:val="left" w:pos="3544" w:leader="none"/>
        </w:tabs>
        <w:ind w:firstLine="720"/>
        <w:jc w:val="both"/>
        <w:rPr>
          <w:color w:val="000000"/>
        </w:rPr>
      </w:pPr>
      <w:r>
        <w:rPr>
          <w:color w:val="000000"/>
        </w:rPr>
        <w:t>П - расчетные  показатели  минимально  допустимого  уровня обеспеченности  объектами  здравоохранения  местного  значения  для  населения муниципального образования «Боханский район»</w:t>
      </w:r>
    </w:p>
    <w:p>
      <w:pPr>
        <w:pStyle w:val="Normal"/>
        <w:tabs>
          <w:tab w:val="left" w:pos="3544" w:leader="none"/>
        </w:tabs>
        <w:ind w:firstLine="720"/>
        <w:jc w:val="both"/>
        <w:rPr>
          <w:color w:val="000000"/>
        </w:rPr>
      </w:pPr>
      <w:r>
        <w:rPr>
          <w:color w:val="000000"/>
        </w:rPr>
        <w:t>П</w:t>
      </w:r>
      <w:r>
        <w:rPr>
          <w:color w:val="000000"/>
          <w:vertAlign w:val="subscript"/>
        </w:rPr>
        <w:t>б</w:t>
      </w:r>
      <w:r>
        <w:rPr>
          <w:color w:val="000000"/>
        </w:rPr>
        <w:t xml:space="preserve"> – базовые показатели обеспеченности объектами здравоохранения</w:t>
      </w:r>
    </w:p>
    <w:p>
      <w:pPr>
        <w:pStyle w:val="Normal"/>
        <w:widowControl w:val="false"/>
        <w:tabs>
          <w:tab w:val="left" w:pos="3544" w:leader="none"/>
        </w:tabs>
        <w:jc w:val="both"/>
        <w:rPr>
          <w:color w:val="000000"/>
        </w:rPr>
      </w:pPr>
      <w:r>
        <w:rPr>
          <w:color w:val="000000"/>
        </w:rPr>
        <w:t xml:space="preserve">           </w:t>
      </w:r>
      <w:r>
        <w:rPr>
          <w:color w:val="000000"/>
        </w:rPr>
        <w:t>К</w:t>
      </w:r>
      <w:r>
        <w:rPr>
          <w:color w:val="000000"/>
          <w:vertAlign w:val="subscript"/>
        </w:rPr>
        <w:t>тн</w:t>
      </w:r>
      <w:r>
        <w:rPr>
          <w:color w:val="000000"/>
        </w:rPr>
        <w:t>– коэффициент техногенной нагрузки, равен 1,1 для Иркутской территориальной зоны.</w:t>
      </w:r>
    </w:p>
    <w:p>
      <w:pPr>
        <w:pStyle w:val="Normal"/>
        <w:widowControl w:val="false"/>
        <w:tabs>
          <w:tab w:val="left" w:pos="3544" w:leader="none"/>
        </w:tabs>
        <w:ind w:firstLine="720"/>
        <w:jc w:val="both"/>
        <w:rPr>
          <w:color w:val="000000"/>
        </w:rPr>
      </w:pPr>
      <w:r>
        <w:rPr>
          <w:color w:val="000000"/>
        </w:rPr>
        <w:t xml:space="preserve">Д -  расчетные  показатели  максимально  допустимого  уровня территориальной доступности объектов здравоохранения местного значения для населения муниципального образования «Боханский район». </w:t>
      </w:r>
    </w:p>
    <w:p>
      <w:pPr>
        <w:pStyle w:val="Normal"/>
        <w:widowControl w:val="false"/>
        <w:tabs>
          <w:tab w:val="left" w:pos="3544" w:leader="none"/>
        </w:tabs>
        <w:ind w:firstLine="720"/>
        <w:jc w:val="both"/>
        <w:rPr>
          <w:color w:val="000000"/>
        </w:rPr>
      </w:pPr>
      <w:r>
        <w:rPr>
          <w:color w:val="000000"/>
        </w:rPr>
        <w:t>Д</w:t>
      </w:r>
      <w:r>
        <w:rPr>
          <w:color w:val="000000"/>
          <w:vertAlign w:val="subscript"/>
        </w:rPr>
        <w:t>б</w:t>
      </w:r>
      <w:r>
        <w:rPr>
          <w:color w:val="000000"/>
        </w:rPr>
        <w:t xml:space="preserve"> – базовые показатели территориальной доступности объектов здравоохранения.</w:t>
      </w:r>
    </w:p>
    <w:p>
      <w:pPr>
        <w:pStyle w:val="Normal"/>
        <w:widowControl w:val="false"/>
        <w:tabs>
          <w:tab w:val="left" w:pos="3544" w:leader="none"/>
        </w:tabs>
        <w:ind w:firstLine="720"/>
        <w:jc w:val="both"/>
        <w:rPr>
          <w:color w:val="000000"/>
        </w:rPr>
      </w:pPr>
      <w:r>
        <w:rPr>
          <w:color w:val="000000"/>
        </w:rPr>
        <w:t>К</w:t>
      </w:r>
      <w:r>
        <w:rPr>
          <w:color w:val="000000"/>
          <w:vertAlign w:val="subscript"/>
        </w:rPr>
        <w:t>пк</w:t>
      </w:r>
      <w:r>
        <w:rPr>
          <w:color w:val="000000"/>
        </w:rPr>
        <w:t xml:space="preserve"> – коэффициент, учитывающий природно-климатические условия.</w:t>
      </w:r>
    </w:p>
    <w:p>
      <w:pPr>
        <w:pStyle w:val="Normal"/>
        <w:widowControl w:val="false"/>
        <w:tabs>
          <w:tab w:val="left" w:pos="3544" w:leader="none"/>
        </w:tabs>
        <w:spacing w:lineRule="exact" w:line="280"/>
        <w:jc w:val="both"/>
        <w:rPr>
          <w:b/>
          <w:b/>
          <w:color w:val="000000"/>
        </w:rPr>
      </w:pPr>
      <w:r>
        <w:rPr>
          <w:b/>
          <w:color w:val="000000"/>
        </w:rPr>
      </w:r>
    </w:p>
    <w:p>
      <w:pPr>
        <w:pStyle w:val="Normal"/>
        <w:widowControl w:val="false"/>
        <w:tabs>
          <w:tab w:val="left" w:pos="3544" w:leader="none"/>
        </w:tabs>
        <w:spacing w:lineRule="exact" w:line="280"/>
        <w:ind w:firstLine="720"/>
        <w:jc w:val="both"/>
        <w:rPr>
          <w:b/>
          <w:b/>
          <w:color w:val="000000"/>
        </w:rPr>
      </w:pPr>
      <w:r>
        <w:rPr>
          <w:b/>
          <w:color w:val="000000"/>
        </w:rPr>
        <w:t>Расчетные  показатели  минимально  допустимого  уровня обеспеченности объектами здравоохранения местного значения (П) определены  на  основе  базовых  показателей  и  соответствующих  значений  коэффициента техногенной нагрузки (К</w:t>
      </w:r>
      <w:r>
        <w:rPr>
          <w:b/>
          <w:color w:val="000000"/>
          <w:vertAlign w:val="subscript"/>
        </w:rPr>
        <w:t>тн</w:t>
      </w:r>
      <w:r>
        <w:rPr>
          <w:b/>
          <w:color w:val="000000"/>
        </w:rPr>
        <w:t>).</w:t>
      </w:r>
    </w:p>
    <w:p>
      <w:pPr>
        <w:pStyle w:val="Normal"/>
        <w:widowControl w:val="false"/>
        <w:tabs>
          <w:tab w:val="left" w:pos="3544" w:leader="none"/>
        </w:tabs>
        <w:spacing w:lineRule="exact" w:line="285"/>
        <w:jc w:val="right"/>
        <w:rPr/>
      </w:pPr>
      <w:r>
        <w:rPr/>
        <w:t>Таблица 2</w:t>
      </w:r>
    </w:p>
    <w:tbl>
      <w:tblPr>
        <w:tblW w:w="10490"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552"/>
        <w:gridCol w:w="993"/>
        <w:gridCol w:w="1265"/>
        <w:gridCol w:w="1405"/>
        <w:gridCol w:w="1298"/>
        <w:gridCol w:w="1699"/>
        <w:gridCol w:w="1277"/>
      </w:tblGrid>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937"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3716" w:hRule="exact"/>
          <w:cantSplit w:val="true"/>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Амбулаторно-поликлинические учреждения (посещений в смену на 1 тыс. чел.)</w:t>
            </w:r>
          </w:p>
        </w:tc>
        <w:tc>
          <w:tcPr>
            <w:tcW w:w="1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Больничные учреждения* (коек на 1 тыс. чел.)</w:t>
            </w:r>
          </w:p>
        </w:tc>
        <w:tc>
          <w:tcPr>
            <w:tcW w:w="14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Диспансеры (посещений в смену, коек на 1 тыс. чел.)</w:t>
            </w:r>
          </w:p>
        </w:tc>
        <w:tc>
          <w:tcPr>
            <w:tcW w:w="12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Станции скорой медицинской помощи</w:t>
            </w:r>
          </w:p>
          <w:p>
            <w:pPr>
              <w:pStyle w:val="Normal"/>
              <w:ind w:left="113" w:right="113" w:hanging="0"/>
              <w:jc w:val="center"/>
              <w:rPr/>
            </w:pPr>
            <w:r>
              <w:rPr/>
              <w:t>(автомобиль на 10 тыс. чел.)</w:t>
            </w:r>
          </w:p>
        </w:tc>
        <w:tc>
          <w:tcPr>
            <w:tcW w:w="1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Фельдшерско-акушерские пункты</w:t>
            </w:r>
          </w:p>
          <w:p>
            <w:pPr>
              <w:pStyle w:val="Normal"/>
              <w:ind w:left="113" w:right="113" w:hanging="0"/>
              <w:jc w:val="center"/>
              <w:rPr/>
            </w:pPr>
            <w:r>
              <w:rPr/>
              <w:t>(объект в населенном пункте 100-1200 чел.)</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Аптеки</w:t>
            </w:r>
          </w:p>
          <w:p>
            <w:pPr>
              <w:pStyle w:val="Normal"/>
              <w:ind w:left="113" w:right="113" w:hanging="0"/>
              <w:jc w:val="center"/>
              <w:rPr/>
            </w:pPr>
            <w:r>
              <w:rPr/>
              <w:t>(объект)</w:t>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 К</w:t>
            </w:r>
            <w:r>
              <w:rPr>
                <w:i/>
              </w:rPr>
              <w:t>тн</w:t>
            </w:r>
          </w:p>
        </w:tc>
        <w:tc>
          <w:tcPr>
            <w:tcW w:w="1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w:t>
            </w:r>
          </w:p>
        </w:tc>
        <w:tc>
          <w:tcPr>
            <w:tcW w:w="14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w:t>
            </w:r>
          </w:p>
        </w:tc>
        <w:tc>
          <w:tcPr>
            <w:tcW w:w="12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c>
          <w:tcPr>
            <w:tcW w:w="1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99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18,15*1,2=21,8</w:t>
            </w:r>
          </w:p>
        </w:tc>
        <w:tc>
          <w:tcPr>
            <w:tcW w:w="126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По заданию на проектирование, определяемому органами здравоохранения</w:t>
            </w:r>
          </w:p>
        </w:tc>
        <w:tc>
          <w:tcPr>
            <w:tcW w:w="140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По заданию на проектирование, определяемому органами здравоохранения</w:t>
            </w:r>
          </w:p>
        </w:tc>
        <w:tc>
          <w:tcPr>
            <w:tcW w:w="129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1 на 5 тыс. чел. в сельских населенных пунктах*</w:t>
            </w:r>
          </w:p>
        </w:tc>
        <w:tc>
          <w:tcPr>
            <w:tcW w:w="169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1 объект на населенный пункт с численностью 100-1200 чел.</w:t>
            </w:r>
          </w:p>
        </w:tc>
        <w:tc>
          <w:tcPr>
            <w:tcW w:w="127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1 на 6,2 тыс. чел.</w:t>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rHeight w:val="60" w:hRule="atLeast"/>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widowControl w:val="false"/>
        <w:tabs>
          <w:tab w:val="left" w:pos="1034" w:leader="none"/>
        </w:tabs>
        <w:spacing w:lineRule="exact" w:line="280"/>
        <w:ind w:firstLine="709"/>
        <w:jc w:val="both"/>
        <w:rPr>
          <w:color w:val="000000"/>
        </w:rPr>
      </w:pPr>
      <w:r>
        <w:rPr>
          <w:color w:val="000000"/>
        </w:rPr>
        <w:t xml:space="preserve">Фельдшерско-акушерский  пункт  следует  размещать  в  сельских  населённых пунктах с численностью  населения  от  100  человек. Фельдшерско-акушерский  пункт  может размещаться в составе общей врачебной практики в малых  населённых пунктах.  </w:t>
      </w:r>
    </w:p>
    <w:p>
      <w:pPr>
        <w:pStyle w:val="Normal"/>
        <w:widowControl w:val="false"/>
        <w:spacing w:lineRule="exact" w:line="273"/>
        <w:ind w:firstLine="709"/>
        <w:jc w:val="both"/>
        <w:rPr>
          <w:color w:val="000000"/>
        </w:rPr>
      </w:pPr>
      <w:r>
        <w:rPr>
          <w:color w:val="000000"/>
        </w:rPr>
        <w:t xml:space="preserve">В соответствии с СанПиН 2.1.3.2630-10 «Санитарно-эпидемиологические требования к организациям,  осуществляющим  медицинскую  деятельность»  допускается  размещать фельдшерско-акушерские пункты в жилых и общественных зданиях при наличии отдельного входа. </w:t>
      </w:r>
    </w:p>
    <w:p>
      <w:pPr>
        <w:pStyle w:val="Normal"/>
        <w:widowControl w:val="false"/>
        <w:tabs>
          <w:tab w:val="left" w:pos="1034" w:leader="none"/>
        </w:tabs>
        <w:spacing w:lineRule="exact" w:line="280"/>
        <w:ind w:firstLine="709"/>
        <w:jc w:val="both"/>
        <w:rPr>
          <w:color w:val="000000"/>
        </w:rPr>
      </w:pPr>
      <w:r>
        <w:rPr>
          <w:color w:val="000000"/>
        </w:rPr>
        <w:t xml:space="preserve">Норматив обеспеченности родильными домами и размеры их земельных участков устанавливаются заданием на проектирование. </w:t>
      </w:r>
    </w:p>
    <w:p>
      <w:pPr>
        <w:pStyle w:val="Normal"/>
        <w:ind w:firstLine="709"/>
        <w:jc w:val="both"/>
        <w:rPr>
          <w:color w:val="000000"/>
        </w:rPr>
      </w:pPr>
      <w:r>
        <w:rPr>
          <w:color w:val="000000"/>
        </w:rPr>
        <w:t>Норматив  обеспеченности  женскими консультациями  и  размеры  их  земельных участков устанавливаются заданием на проектирование.</w:t>
      </w:r>
    </w:p>
    <w:p>
      <w:pPr>
        <w:pStyle w:val="Normal"/>
        <w:ind w:firstLine="709"/>
        <w:jc w:val="both"/>
        <w:rPr>
          <w:b/>
          <w:b/>
        </w:rPr>
      </w:pPr>
      <w:r>
        <w:rPr>
          <w:b/>
        </w:rPr>
      </w:r>
    </w:p>
    <w:p>
      <w:pPr>
        <w:pStyle w:val="Normal"/>
        <w:ind w:firstLine="709"/>
        <w:jc w:val="both"/>
        <w:rPr>
          <w:b/>
          <w:b/>
        </w:rPr>
      </w:pPr>
      <w:r>
        <w:rPr>
          <w:b/>
        </w:rPr>
        <w:t>Расчетные показатели максимально допустимого уровня территориальной доступности объектов здравоохранения местного значения для населения  муниципального образования «Боханский район».</w:t>
      </w:r>
    </w:p>
    <w:tbl>
      <w:tblPr>
        <w:tblW w:w="10490"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551"/>
        <w:gridCol w:w="1275"/>
        <w:gridCol w:w="1276"/>
        <w:gridCol w:w="1111"/>
        <w:gridCol w:w="1298"/>
        <w:gridCol w:w="1699"/>
        <w:gridCol w:w="1279"/>
      </w:tblGrid>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938"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3716" w:hRule="exact"/>
          <w:cantSplit w:val="true"/>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Амбулаторно-поликлинические учреждения (посещений в смену на 1 тыс. чел.)</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Больничные учреждения* (коек на 1 тыс. чел.)</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Диспансеры (посещений в смену, коек на 1 тыс. чел.)</w:t>
            </w:r>
          </w:p>
        </w:tc>
        <w:tc>
          <w:tcPr>
            <w:tcW w:w="12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Станции скорой медицинской помощи</w:t>
            </w:r>
          </w:p>
          <w:p>
            <w:pPr>
              <w:pStyle w:val="Normal"/>
              <w:ind w:left="113" w:right="113" w:hanging="0"/>
              <w:jc w:val="center"/>
              <w:rPr/>
            </w:pPr>
            <w:r>
              <w:rPr/>
              <w:t>(автомобиль на 5 тыс. чел.)</w:t>
            </w:r>
          </w:p>
        </w:tc>
        <w:tc>
          <w:tcPr>
            <w:tcW w:w="1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Фельдшерско-акушерские пункты</w:t>
            </w:r>
          </w:p>
          <w:p>
            <w:pPr>
              <w:pStyle w:val="Normal"/>
              <w:ind w:left="113" w:right="113" w:hanging="0"/>
              <w:jc w:val="center"/>
              <w:rPr/>
            </w:pPr>
            <w:r>
              <w:rPr/>
              <w:t>(объект в населенном пункте 100-1200 чел.)</w:t>
            </w:r>
          </w:p>
        </w:tc>
        <w:tc>
          <w:tcPr>
            <w:tcW w:w="12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Аптеки</w:t>
            </w:r>
          </w:p>
          <w:p>
            <w:pPr>
              <w:pStyle w:val="Normal"/>
              <w:ind w:left="113" w:right="113" w:hanging="0"/>
              <w:jc w:val="center"/>
              <w:rPr/>
            </w:pPr>
            <w:r>
              <w:rPr/>
              <w:t>(объект)</w:t>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07" w:right="1" w:hanging="0"/>
              <w:jc w:val="center"/>
              <w:rPr/>
            </w:pPr>
            <w:r>
              <w:rPr/>
              <w:t>Д=Дб*К</w:t>
            </w:r>
            <w:r>
              <w:rPr>
                <w:i/>
                <w:sz w:val="16"/>
                <w:szCs w:val="16"/>
              </w:rPr>
              <w:t>пк</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3544" w:leader="none"/>
              </w:tabs>
              <w:spacing w:lineRule="exact" w:line="285"/>
              <w:jc w:val="center"/>
              <w:rPr>
                <w:i/>
                <w:i/>
                <w:color w:val="000000"/>
              </w:rPr>
            </w:pPr>
            <w:r>
              <w:rPr>
                <w:color w:val="000000"/>
              </w:rPr>
              <w:t>Д=Д</w:t>
            </w:r>
            <w:r>
              <w:rPr>
                <w:i/>
                <w:color w:val="000000"/>
                <w:vertAlign w:val="subscript"/>
              </w:rPr>
              <w:t>б</w:t>
            </w:r>
          </w:p>
          <w:p>
            <w:pPr>
              <w:pStyle w:val="Normal"/>
              <w:rPr/>
            </w:pPr>
            <w:r>
              <w:rPr/>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3544" w:leader="none"/>
              </w:tabs>
              <w:spacing w:lineRule="exact" w:line="285"/>
              <w:jc w:val="center"/>
              <w:rPr>
                <w:i/>
                <w:i/>
                <w:color w:val="000000"/>
              </w:rPr>
            </w:pPr>
            <w:r>
              <w:rPr>
                <w:color w:val="000000"/>
              </w:rPr>
              <w:t>Д=Д</w:t>
            </w:r>
            <w:r>
              <w:rPr>
                <w:i/>
                <w:color w:val="000000"/>
                <w:vertAlign w:val="subscript"/>
              </w:rPr>
              <w:t>б</w:t>
            </w:r>
          </w:p>
          <w:p>
            <w:pPr>
              <w:pStyle w:val="Normal"/>
              <w:rPr/>
            </w:pPr>
            <w:r>
              <w:rPr/>
            </w:r>
          </w:p>
        </w:tc>
        <w:tc>
          <w:tcPr>
            <w:tcW w:w="12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color w:val="000000"/>
              </w:rPr>
              <w:t>Д=Д</w:t>
            </w:r>
            <w:r>
              <w:rPr>
                <w:i/>
                <w:color w:val="000000"/>
                <w:vertAlign w:val="subscript"/>
              </w:rPr>
              <w:t>б</w:t>
            </w:r>
          </w:p>
        </w:tc>
        <w:tc>
          <w:tcPr>
            <w:tcW w:w="1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color w:val="000000"/>
              </w:rPr>
              <w:t>Д=Д</w:t>
            </w:r>
            <w:r>
              <w:rPr>
                <w:color w:val="000000"/>
                <w:vertAlign w:val="subscript"/>
              </w:rPr>
              <w:t>б</w:t>
            </w:r>
          </w:p>
        </w:tc>
        <w:tc>
          <w:tcPr>
            <w:tcW w:w="12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04" w:hanging="0"/>
              <w:jc w:val="center"/>
              <w:rPr/>
            </w:pPr>
            <w:r>
              <w:rPr/>
              <w:t>Д=Д</w:t>
            </w:r>
            <w:r>
              <w:rPr>
                <w:i/>
                <w:vertAlign w:val="subscript"/>
              </w:rPr>
              <w:t>б</w:t>
            </w:r>
            <w:r>
              <w:rPr>
                <w:i/>
                <w:vertAlign w:val="superscript"/>
              </w:rPr>
              <w:t>*</w:t>
            </w:r>
            <w:r>
              <w:rPr/>
              <w:t>К</w:t>
            </w:r>
            <w:r>
              <w:rPr>
                <w:i/>
                <w:vertAlign w:val="subscript"/>
              </w:rPr>
              <w:t>пк</w:t>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127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rPr>
                <w:sz w:val="20"/>
                <w:szCs w:val="20"/>
              </w:rPr>
            </w:pPr>
            <w:r>
              <w:rPr>
                <w:sz w:val="20"/>
                <w:szCs w:val="20"/>
              </w:rPr>
              <w:t xml:space="preserve">в населенных пунктах поселковых </w:t>
            </w:r>
          </w:p>
          <w:p>
            <w:pPr>
              <w:pStyle w:val="Normal"/>
              <w:jc w:val="center"/>
              <w:rPr>
                <w:sz w:val="20"/>
                <w:szCs w:val="20"/>
              </w:rPr>
            </w:pPr>
            <w:r>
              <w:rPr>
                <w:sz w:val="20"/>
                <w:szCs w:val="20"/>
              </w:rPr>
              <w:t>и сельских населенных пунктах Д=1000*1=1000м; 30 мин. транспортной доступности</w:t>
            </w:r>
          </w:p>
        </w:tc>
        <w:tc>
          <w:tcPr>
            <w:tcW w:w="12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08" w:firstLine="108"/>
              <w:jc w:val="center"/>
              <w:rPr>
                <w:sz w:val="20"/>
                <w:szCs w:val="20"/>
              </w:rPr>
            </w:pPr>
            <w:r>
              <w:rPr>
                <w:sz w:val="20"/>
                <w:szCs w:val="20"/>
              </w:rPr>
            </w:r>
          </w:p>
          <w:p>
            <w:pPr>
              <w:pStyle w:val="Normal"/>
              <w:ind w:left="-108" w:firstLine="108"/>
              <w:rPr>
                <w:sz w:val="20"/>
                <w:szCs w:val="20"/>
              </w:rPr>
            </w:pPr>
            <w:r>
              <w:rPr>
                <w:sz w:val="20"/>
                <w:szCs w:val="20"/>
              </w:rPr>
            </w:r>
          </w:p>
          <w:p>
            <w:pPr>
              <w:pStyle w:val="Normal"/>
              <w:ind w:left="-108" w:firstLine="108"/>
              <w:jc w:val="center"/>
              <w:rPr>
                <w:sz w:val="20"/>
                <w:szCs w:val="20"/>
              </w:rPr>
            </w:pPr>
            <w:r>
              <w:rPr>
                <w:sz w:val="20"/>
                <w:szCs w:val="20"/>
              </w:rPr>
              <w:t>в поселковых населенных пунктах: 1-часовая транспортная доступность,</w:t>
            </w:r>
          </w:p>
          <w:p>
            <w:pPr>
              <w:pStyle w:val="Normal"/>
              <w:ind w:left="-108" w:firstLine="108"/>
              <w:jc w:val="center"/>
              <w:rPr>
                <w:sz w:val="20"/>
                <w:szCs w:val="20"/>
              </w:rPr>
            </w:pPr>
            <w:r>
              <w:rPr>
                <w:sz w:val="20"/>
                <w:szCs w:val="20"/>
              </w:rPr>
              <w:t>в сельских населенных пунктах -2-часовая транспортная доступность</w:t>
            </w:r>
          </w:p>
        </w:tc>
        <w:tc>
          <w:tcPr>
            <w:tcW w:w="111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2,5 часовая транспортная доступность</w:t>
            </w:r>
          </w:p>
        </w:tc>
        <w:tc>
          <w:tcPr>
            <w:tcW w:w="129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85" w:firstLine="85"/>
              <w:jc w:val="center"/>
              <w:rPr>
                <w:sz w:val="20"/>
                <w:szCs w:val="20"/>
              </w:rPr>
            </w:pPr>
            <w:r>
              <w:rPr>
                <w:sz w:val="20"/>
                <w:szCs w:val="20"/>
              </w:rPr>
            </w:r>
          </w:p>
          <w:p>
            <w:pPr>
              <w:pStyle w:val="Normal"/>
              <w:ind w:left="-85" w:firstLine="85"/>
              <w:jc w:val="center"/>
              <w:rPr>
                <w:sz w:val="20"/>
                <w:szCs w:val="20"/>
              </w:rPr>
            </w:pPr>
            <w:r>
              <w:rPr>
                <w:sz w:val="20"/>
                <w:szCs w:val="20"/>
              </w:rPr>
            </w:r>
          </w:p>
          <w:p>
            <w:pPr>
              <w:pStyle w:val="Normal"/>
              <w:ind w:left="-85" w:firstLine="85"/>
              <w:jc w:val="center"/>
              <w:rPr>
                <w:sz w:val="20"/>
                <w:szCs w:val="20"/>
              </w:rPr>
            </w:pPr>
            <w:r>
              <w:rPr>
                <w:sz w:val="20"/>
                <w:szCs w:val="20"/>
              </w:rPr>
            </w:r>
          </w:p>
          <w:p>
            <w:pPr>
              <w:pStyle w:val="Normal"/>
              <w:ind w:left="-85" w:firstLine="85"/>
              <w:jc w:val="center"/>
              <w:rPr>
                <w:sz w:val="20"/>
                <w:szCs w:val="20"/>
              </w:rPr>
            </w:pPr>
            <w:r>
              <w:rPr>
                <w:sz w:val="20"/>
                <w:szCs w:val="20"/>
              </w:rPr>
              <w:t>15-минутная доступность на специальном автомобиле *</w:t>
            </w:r>
          </w:p>
        </w:tc>
        <w:tc>
          <w:tcPr>
            <w:tcW w:w="169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30 мин. транспортной доступности в сельских населенных пунктах</w:t>
            </w:r>
          </w:p>
        </w:tc>
        <w:tc>
          <w:tcPr>
            <w:tcW w:w="12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ind w:left="-104" w:firstLine="104"/>
              <w:jc w:val="center"/>
              <w:rPr>
                <w:sz w:val="20"/>
                <w:szCs w:val="20"/>
              </w:rPr>
            </w:pPr>
            <w:r>
              <w:rPr>
                <w:sz w:val="20"/>
                <w:szCs w:val="20"/>
              </w:rPr>
              <w:t>в поселковых населенных пунктах: в малоэтажной  застройке Д=800*1=800м;</w:t>
            </w:r>
          </w:p>
          <w:p>
            <w:pPr>
              <w:pStyle w:val="Normal"/>
              <w:ind w:left="-104" w:right="-108" w:firstLine="104"/>
              <w:jc w:val="center"/>
              <w:rPr>
                <w:sz w:val="20"/>
                <w:szCs w:val="20"/>
              </w:rPr>
            </w:pPr>
            <w:r>
              <w:rPr>
                <w:sz w:val="20"/>
                <w:szCs w:val="20"/>
              </w:rPr>
              <w:t>в сельских населенных пунктах 30 мин. транспортной доступности</w:t>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jc w:val="both"/>
        <w:rPr>
          <w:b/>
          <w:b/>
        </w:rPr>
      </w:pPr>
      <w:r>
        <w:rPr>
          <w:sz w:val="20"/>
          <w:szCs w:val="20"/>
        </w:rPr>
        <w:t>* - Выдвижные пункты медицинской помощи следует размещать в сельских населенных пунктах в пределах 30- минутной доступности на специальном автомобиле</w:t>
      </w:r>
      <w:r>
        <w:rPr>
          <w:sz w:val="18"/>
          <w:szCs w:val="18"/>
        </w:rPr>
        <w:t>.</w:t>
      </w:r>
    </w:p>
    <w:p>
      <w:pPr>
        <w:pStyle w:val="Normal"/>
        <w:tabs>
          <w:tab w:val="left" w:pos="3544" w:leader="none"/>
        </w:tabs>
        <w:rPr>
          <w:b/>
          <w:b/>
        </w:rPr>
      </w:pPr>
      <w:r>
        <w:rPr>
          <w:b/>
        </w:rPr>
      </w:r>
    </w:p>
    <w:p>
      <w:pPr>
        <w:pStyle w:val="Normal"/>
        <w:ind w:firstLine="709"/>
        <w:jc w:val="center"/>
        <w:rPr>
          <w:b/>
          <w:b/>
        </w:rPr>
      </w:pPr>
      <w:r>
        <w:rPr>
          <w:b/>
        </w:rPr>
        <w:t>2.5.2  Объекты физической культуры и спорта</w:t>
      </w:r>
    </w:p>
    <w:p>
      <w:pPr>
        <w:pStyle w:val="Normal"/>
        <w:ind w:firstLine="709"/>
        <w:jc w:val="both"/>
        <w:rPr>
          <w:b/>
          <w:b/>
        </w:rPr>
      </w:pPr>
      <w:r>
        <w:rPr>
          <w:b/>
        </w:rPr>
      </w:r>
    </w:p>
    <w:p>
      <w:pPr>
        <w:pStyle w:val="Normal"/>
        <w:ind w:firstLine="709"/>
        <w:jc w:val="both"/>
        <w:rPr>
          <w:b/>
          <w:b/>
        </w:rPr>
      </w:pPr>
      <w:r>
        <w:rPr>
          <w:b/>
        </w:rPr>
        <w:t xml:space="preserve"> </w:t>
      </w:r>
      <w:r>
        <w:rPr>
          <w:b/>
        </w:rPr>
        <w:t>Расчетные показатели минимально допустимого уровня обеспеченности объектами физической культуры и  массового спорта местного значения населения муниципального образования «Боханский район».</w:t>
      </w:r>
    </w:p>
    <w:p>
      <w:pPr>
        <w:pStyle w:val="Normal"/>
        <w:ind w:firstLine="709"/>
        <w:jc w:val="both"/>
        <w:rPr>
          <w:b/>
          <w:b/>
        </w:rPr>
      </w:pPr>
      <w:r>
        <w:rPr>
          <w:b/>
        </w:rPr>
      </w:r>
    </w:p>
    <w:p>
      <w:pPr>
        <w:pStyle w:val="Normal"/>
        <w:widowControl w:val="false"/>
        <w:tabs>
          <w:tab w:val="left" w:pos="3544" w:leader="none"/>
        </w:tabs>
        <w:spacing w:lineRule="exact" w:line="285"/>
        <w:ind w:firstLine="720"/>
        <w:jc w:val="both"/>
        <w:rPr>
          <w:b/>
          <w:b/>
          <w:color w:val="000000"/>
        </w:rPr>
      </w:pPr>
      <w:r>
        <w:rPr>
          <w:b/>
          <w:color w:val="000000"/>
        </w:rPr>
        <w:t>Базовые показатели для определения обеспеченности объектами физической культуры массового спорта местного значения для населения муниципал</w:t>
      </w:r>
      <w:r>
        <w:rPr>
          <w:b/>
        </w:rPr>
        <w:t>ьного образования «Боханский район»</w:t>
      </w:r>
      <w:r>
        <w:rPr>
          <w:b/>
          <w:color w:val="000000"/>
        </w:rPr>
        <w:t>.</w:t>
      </w:r>
    </w:p>
    <w:p>
      <w:pPr>
        <w:pStyle w:val="Normal"/>
        <w:jc w:val="right"/>
        <w:rPr/>
      </w:pPr>
      <w:r>
        <w:rPr/>
        <w:t>Таблица 4</w:t>
      </w:r>
    </w:p>
    <w:tbl>
      <w:tblPr>
        <w:tblW w:w="957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2392"/>
        <w:gridCol w:w="2392"/>
        <w:gridCol w:w="2393"/>
        <w:gridCol w:w="2392"/>
      </w:tblGrid>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Наименование объектов</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Единица измерения</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величина</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обоснование</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Спортивные  комплексы</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w:t>
            </w:r>
            <w:r>
              <w:rPr>
                <w:vertAlign w:val="superscript"/>
              </w:rPr>
              <w:t>2</w:t>
            </w:r>
            <w:r>
              <w:rPr/>
              <w:t xml:space="preserve"> площади пола на 1 тыс.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60-80</w:t>
            </w:r>
          </w:p>
        </w:tc>
        <w:tc>
          <w:tcPr>
            <w:tcW w:w="23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 xml:space="preserve">СП 42.13330.2011 Градостроительство. Планировка и застройка городских и сельских поселений </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Плавательные  бассейны</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w:t>
            </w:r>
            <w:r>
              <w:rPr>
                <w:vertAlign w:val="superscript"/>
              </w:rPr>
              <w:t>2</w:t>
            </w:r>
            <w:r>
              <w:rPr/>
              <w:t xml:space="preserve"> зеркала воды на 1 тыс.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20-25</w:t>
            </w:r>
          </w:p>
        </w:tc>
        <w:tc>
          <w:tcPr>
            <w:tcW w:w="23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Стадионы</w:t>
            </w:r>
          </w:p>
          <w:p>
            <w:pPr>
              <w:pStyle w:val="Normal"/>
              <w:jc w:val="center"/>
              <w:rPr/>
            </w:pPr>
            <w:r>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объект</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 на группу сельских населенных пунктов</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 xml:space="preserve">Плоскостные сооружения </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w:t>
            </w:r>
            <w:r>
              <w:rPr>
                <w:vertAlign w:val="superscript"/>
              </w:rPr>
              <w:t>2</w:t>
            </w:r>
            <w:r>
              <w:rPr/>
              <w:t xml:space="preserve"> плоскостных сооружений на 1 тыс.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195</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sz w:val="20"/>
                <w:szCs w:val="20"/>
              </w:rPr>
            </w:pPr>
            <w:r>
              <w:rPr>
                <w:sz w:val="20"/>
                <w:szCs w:val="20"/>
              </w:rPr>
              <w:t>Методика определения нормативной потребности субъектов РФ в объектах социальной инфраструктуры, утвержденная распоряжением Правительства РФ от 19.10.1999г. № 1683-р (в ред. Распоряжения Правительства РФ от 23.11.2009г. № 1767-р)</w:t>
            </w:r>
          </w:p>
        </w:tc>
      </w:tr>
    </w:tbl>
    <w:p>
      <w:pPr>
        <w:pStyle w:val="Normal"/>
        <w:rPr/>
      </w:pPr>
      <w:r>
        <w:rPr/>
      </w:r>
    </w:p>
    <w:p>
      <w:pPr>
        <w:pStyle w:val="Normal"/>
        <w:widowControl w:val="false"/>
        <w:tabs>
          <w:tab w:val="left" w:pos="3544" w:leader="none"/>
        </w:tabs>
        <w:spacing w:lineRule="exact" w:line="280"/>
        <w:ind w:firstLine="720"/>
        <w:jc w:val="both"/>
        <w:rPr>
          <w:b/>
          <w:b/>
          <w:color w:val="000000"/>
        </w:rPr>
      </w:pPr>
      <w:r>
        <w:rPr>
          <w:b/>
          <w:color w:val="000000"/>
        </w:rPr>
        <w:t>Расчетные  показатели  минимально  допустимого  уровня обеспеченности объектами физической культуры и массового спорта местного значения (П) определены  на  основе  базовых  показателей  и  соответствующих  значений  коэффициента развития (К</w:t>
      </w:r>
      <w:r>
        <w:rPr>
          <w:b/>
          <w:color w:val="000000"/>
          <w:vertAlign w:val="subscript"/>
        </w:rPr>
        <w:t>р</w:t>
      </w:r>
      <w:r>
        <w:rPr>
          <w:b/>
          <w:color w:val="000000"/>
        </w:rPr>
        <w:t xml:space="preserve"> ).</w:t>
      </w:r>
    </w:p>
    <w:p>
      <w:pPr>
        <w:pStyle w:val="Normal"/>
        <w:jc w:val="right"/>
        <w:rPr/>
      </w:pPr>
      <w:r>
        <w:rPr/>
        <w:t>Таблица 5</w:t>
      </w:r>
    </w:p>
    <w:tbl>
      <w:tblPr>
        <w:tblW w:w="10490"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410"/>
        <w:gridCol w:w="1984"/>
        <w:gridCol w:w="2126"/>
        <w:gridCol w:w="1985"/>
        <w:gridCol w:w="1985"/>
      </w:tblGrid>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808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1560" w:hRule="exact"/>
          <w:cantSplit w:val="true"/>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Спортивные</w:t>
            </w:r>
          </w:p>
          <w:p>
            <w:pPr>
              <w:pStyle w:val="Normal"/>
              <w:ind w:left="113" w:right="113" w:hanging="0"/>
              <w:jc w:val="center"/>
              <w:rPr/>
            </w:pPr>
            <w:r>
              <w:rPr/>
              <w:t>комплексы</w:t>
            </w:r>
          </w:p>
          <w:p>
            <w:pPr>
              <w:pStyle w:val="Normal"/>
              <w:ind w:left="113" w:right="113" w:hanging="0"/>
              <w:jc w:val="center"/>
              <w:rPr/>
            </w:pPr>
            <w:r>
              <w:rPr/>
              <w:t>(м</w:t>
            </w:r>
            <w:r>
              <w:rPr>
                <w:vertAlign w:val="superscript"/>
              </w:rPr>
              <w:t>2</w:t>
            </w:r>
            <w:r>
              <w:rPr/>
              <w:t xml:space="preserve"> площади пола на 1 тыс. чел.)</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Плавательные</w:t>
            </w:r>
          </w:p>
          <w:p>
            <w:pPr>
              <w:pStyle w:val="Normal"/>
              <w:ind w:left="113" w:right="113" w:hanging="0"/>
              <w:jc w:val="center"/>
              <w:rPr/>
            </w:pPr>
            <w:r>
              <w:rPr/>
              <w:t xml:space="preserve"> </w:t>
            </w:r>
            <w:r>
              <w:rPr/>
              <w:t>бассейны</w:t>
            </w:r>
          </w:p>
          <w:p>
            <w:pPr>
              <w:pStyle w:val="Normal"/>
              <w:ind w:left="113" w:right="113" w:hanging="0"/>
              <w:jc w:val="center"/>
              <w:rPr/>
            </w:pPr>
            <w:r>
              <w:rPr/>
              <w:t>(м</w:t>
            </w:r>
            <w:r>
              <w:rPr>
                <w:vertAlign w:val="superscript"/>
              </w:rPr>
              <w:t>2</w:t>
            </w:r>
            <w:r>
              <w:rPr/>
              <w:t xml:space="preserve"> зеркала воды на 1 тыс. чел.)</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Стадионы</w:t>
            </w:r>
          </w:p>
          <w:p>
            <w:pPr>
              <w:pStyle w:val="Normal"/>
              <w:ind w:left="113" w:right="113" w:hanging="0"/>
              <w:jc w:val="center"/>
              <w:rPr/>
            </w:pPr>
            <w:r>
              <w:rPr/>
              <w:t>(объект)</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sz w:val="22"/>
                <w:szCs w:val="22"/>
              </w:rPr>
            </w:pPr>
            <w:r>
              <w:rPr>
                <w:sz w:val="22"/>
                <w:szCs w:val="22"/>
              </w:rPr>
              <w:t>Плоскостные  сооружения</w:t>
            </w:r>
          </w:p>
          <w:p>
            <w:pPr>
              <w:pStyle w:val="Normal"/>
              <w:ind w:left="113" w:right="113" w:hanging="0"/>
              <w:jc w:val="center"/>
              <w:rPr>
                <w:b/>
                <w:b/>
                <w:sz w:val="22"/>
                <w:szCs w:val="22"/>
              </w:rPr>
            </w:pPr>
            <w:r>
              <w:rPr>
                <w:sz w:val="22"/>
                <w:szCs w:val="22"/>
              </w:rPr>
              <w:t>(м</w:t>
            </w:r>
            <w:r>
              <w:rPr>
                <w:sz w:val="22"/>
                <w:szCs w:val="22"/>
                <w:vertAlign w:val="superscript"/>
              </w:rPr>
              <w:t>2</w:t>
            </w:r>
            <w:r>
              <w:rPr>
                <w:sz w:val="22"/>
                <w:szCs w:val="22"/>
              </w:rPr>
              <w:t xml:space="preserve"> плоскостных сооружений на 1 тыс</w:t>
            </w:r>
            <w:r>
              <w:rPr>
                <w:b/>
                <w:sz w:val="22"/>
                <w:szCs w:val="22"/>
              </w:rPr>
              <w:t>. чел.)</w:t>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*К</w:t>
            </w:r>
            <w:r>
              <w:rPr>
                <w:i/>
              </w:rPr>
              <w:t>р</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*К</w:t>
            </w:r>
            <w:r>
              <w:rPr>
                <w:i/>
              </w:rPr>
              <w:t>р</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*К</w:t>
            </w:r>
            <w:r>
              <w:rPr>
                <w:i/>
              </w:rPr>
              <w:t>р</w:t>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19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0"/>
                <w:szCs w:val="20"/>
              </w:rPr>
            </w:pPr>
            <w:r>
              <w:rPr/>
              <w:t>П=70*1, 032=72</w:t>
            </w:r>
          </w:p>
        </w:tc>
        <w:tc>
          <w:tcPr>
            <w:tcW w:w="212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0"/>
                <w:szCs w:val="20"/>
              </w:rPr>
            </w:pPr>
            <w:r>
              <w:rPr/>
              <w:t>П=22,5*1, 032=23</w:t>
            </w:r>
          </w:p>
        </w:tc>
        <w:tc>
          <w:tcPr>
            <w:tcW w:w="198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1 на группу сельских населенных пунктов</w:t>
            </w:r>
          </w:p>
        </w:tc>
        <w:tc>
          <w:tcPr>
            <w:tcW w:w="198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0"/>
                <w:szCs w:val="20"/>
              </w:rPr>
            </w:pPr>
            <w:r>
              <w:rPr/>
              <w:t>П=19,5*1,032=20</w:t>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4" w:type="dxa"/>
            <w:vMerge w:val="continue"/>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r>
      <w:tr>
        <w:trPr>
          <w:trHeight w:val="1421" w:hRule="atLeast"/>
        </w:trPr>
        <w:tc>
          <w:tcPr>
            <w:tcW w:w="2410" w:type="dxa"/>
            <w:tcBorders>
              <w:top w:val="single" w:sz="4" w:space="0" w:color="00000A"/>
            </w:tcBorders>
            <w:shd w:color="auto" w:fill="auto" w:val="clear"/>
          </w:tcPr>
          <w:p>
            <w:pPr>
              <w:pStyle w:val="Normal"/>
              <w:widowControl w:val="false"/>
              <w:spacing w:lineRule="atLeast" w:line="240"/>
              <w:rPr>
                <w:color w:val="000000"/>
                <w:sz w:val="22"/>
                <w:szCs w:val="22"/>
              </w:rPr>
            </w:pPr>
            <w:r>
              <w:rPr>
                <w:color w:val="000000"/>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tc>
        <w:tc>
          <w:tcPr>
            <w:tcW w:w="1984" w:type="dxa"/>
            <w:vMerge w:val="continue"/>
            <w:tcBorders/>
            <w:shd w:color="auto" w:fill="auto" w:val="clear"/>
          </w:tcPr>
          <w:p>
            <w:pPr>
              <w:pStyle w:val="Normal"/>
              <w:jc w:val="center"/>
              <w:rPr/>
            </w:pPr>
            <w:r>
              <w:rPr/>
            </w:r>
          </w:p>
        </w:tc>
        <w:tc>
          <w:tcPr>
            <w:tcW w:w="2126" w:type="dxa"/>
            <w:vMerge w:val="continue"/>
            <w:tcBorders/>
            <w:shd w:color="auto" w:fill="auto" w:val="clear"/>
          </w:tcPr>
          <w:p>
            <w:pPr>
              <w:pStyle w:val="Normal"/>
              <w:jc w:val="center"/>
              <w:rPr/>
            </w:pPr>
            <w:r>
              <w:rPr/>
            </w:r>
          </w:p>
        </w:tc>
        <w:tc>
          <w:tcPr>
            <w:tcW w:w="1985" w:type="dxa"/>
            <w:vMerge w:val="continue"/>
            <w:tcBorders/>
            <w:shd w:color="auto" w:fill="auto" w:val="clear"/>
          </w:tcPr>
          <w:p>
            <w:pPr>
              <w:pStyle w:val="Normal"/>
              <w:jc w:val="center"/>
              <w:rPr/>
            </w:pPr>
            <w:r>
              <w:rPr/>
            </w:r>
          </w:p>
        </w:tc>
        <w:tc>
          <w:tcPr>
            <w:tcW w:w="1985" w:type="dxa"/>
            <w:vMerge w:val="continue"/>
            <w:tcBorders/>
            <w:shd w:color="auto" w:fill="auto" w:val="clear"/>
          </w:tcPr>
          <w:p>
            <w:pPr>
              <w:pStyle w:val="Normal"/>
              <w:jc w:val="center"/>
              <w:rPr/>
            </w:pPr>
            <w:r>
              <w:rPr/>
            </w:r>
          </w:p>
        </w:tc>
      </w:tr>
    </w:tbl>
    <w:p>
      <w:pPr>
        <w:pStyle w:val="Normal"/>
        <w:ind w:firstLine="709"/>
        <w:jc w:val="both"/>
        <w:rPr>
          <w:b/>
          <w:b/>
        </w:rPr>
      </w:pPr>
      <w:r>
        <w:rPr>
          <w:b/>
        </w:rPr>
      </w:r>
    </w:p>
    <w:p>
      <w:pPr>
        <w:pStyle w:val="Normal"/>
        <w:ind w:firstLine="709"/>
        <w:jc w:val="both"/>
        <w:rPr>
          <w:b/>
          <w:b/>
        </w:rPr>
      </w:pPr>
      <w:r>
        <w:rPr>
          <w:b/>
        </w:rPr>
        <w:t>Расчетные показатели максимально допустимого уровня территориальной доступности объектов физической культуры и  массового спорта местного значения для населения  муниципального образования «Боханский район».</w:t>
      </w:r>
    </w:p>
    <w:p>
      <w:pPr>
        <w:pStyle w:val="Normal"/>
        <w:widowControl w:val="false"/>
        <w:tabs>
          <w:tab w:val="left" w:pos="3544" w:leader="none"/>
        </w:tabs>
        <w:spacing w:lineRule="exact" w:line="280" w:before="55" w:after="0"/>
        <w:ind w:firstLine="720"/>
        <w:jc w:val="both"/>
        <w:rPr>
          <w:color w:val="000000"/>
        </w:rPr>
      </w:pPr>
      <w:r>
        <w:rPr>
          <w:color w:val="000000"/>
        </w:rPr>
        <w:t>Базовым  показателем  для  определения  расчетных  показателей  максимально допустимого уровня территориальной доступности объектов физической культуры и спорта (Д</w:t>
      </w:r>
      <w:r>
        <w:rPr>
          <w:color w:val="000000"/>
          <w:vertAlign w:val="subscript"/>
        </w:rPr>
        <w:t>б</w:t>
      </w:r>
      <w:r>
        <w:rPr>
          <w:color w:val="000000"/>
        </w:rPr>
        <w:t>) является норматив, указанный в СП 42.13330.2011 Градостроительство. Планировка и застройка городских и сельских поселений (пункт 10.3, 10.4): в городских и сельских населенных пунктах –  1500  м,  объекты  городского  и  районного  значения  -  в  пределах транспортной доступности 30 мин.</w:t>
      </w:r>
    </w:p>
    <w:p>
      <w:pPr>
        <w:pStyle w:val="Normal"/>
        <w:widowControl w:val="false"/>
        <w:tabs>
          <w:tab w:val="left" w:pos="3544" w:leader="none"/>
        </w:tabs>
        <w:spacing w:lineRule="exact" w:line="280"/>
        <w:ind w:firstLine="720"/>
        <w:jc w:val="both"/>
        <w:rPr>
          <w:color w:val="000000"/>
        </w:rPr>
      </w:pPr>
      <w:r>
        <w:rPr>
          <w:color w:val="000000"/>
        </w:rPr>
        <w:t>Расчетные  показатели  максимально  допустимого  уровня территориальной доступности объектов физической культуры и массового спорта местного значения  рассчитаны  на  основе  базовых  показателей  и  соответствующих  значений коэффициента,  учитывающего  природно-климатические  условия,  (К</w:t>
      </w:r>
      <w:r>
        <w:rPr>
          <w:color w:val="000000"/>
          <w:vertAlign w:val="subscript"/>
        </w:rPr>
        <w:t>пк</w:t>
      </w:r>
      <w:r>
        <w:rPr>
          <w:color w:val="000000"/>
        </w:rPr>
        <w:t>) для объектов повседневного пользования.</w:t>
      </w:r>
    </w:p>
    <w:p>
      <w:pPr>
        <w:pStyle w:val="Normal"/>
        <w:ind w:firstLine="709"/>
        <w:jc w:val="both"/>
        <w:rPr>
          <w:b/>
          <w:b/>
        </w:rPr>
      </w:pPr>
      <w:r>
        <w:rPr>
          <w:b/>
        </w:rPr>
      </w:r>
    </w:p>
    <w:p>
      <w:pPr>
        <w:pStyle w:val="Normal"/>
        <w:jc w:val="right"/>
        <w:rPr/>
      </w:pPr>
      <w:r>
        <w:rPr/>
        <w:t>Таблица 6</w:t>
      </w:r>
    </w:p>
    <w:tbl>
      <w:tblPr>
        <w:tblW w:w="10349"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410"/>
        <w:gridCol w:w="1985"/>
        <w:gridCol w:w="2125"/>
        <w:gridCol w:w="1985"/>
        <w:gridCol w:w="1844"/>
      </w:tblGrid>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939"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1314" w:hRule="exact"/>
          <w:cantSplit w:val="true"/>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Спортивные</w:t>
            </w:r>
          </w:p>
          <w:p>
            <w:pPr>
              <w:pStyle w:val="Normal"/>
              <w:ind w:left="113" w:right="113" w:hanging="0"/>
              <w:jc w:val="center"/>
              <w:rPr/>
            </w:pPr>
            <w:r>
              <w:rPr/>
              <w:t xml:space="preserve"> </w:t>
            </w:r>
            <w:r>
              <w:rPr/>
              <w:t>комплексы</w:t>
            </w:r>
          </w:p>
        </w:tc>
        <w:tc>
          <w:tcPr>
            <w:tcW w:w="2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Плавательные</w:t>
            </w:r>
          </w:p>
          <w:p>
            <w:pPr>
              <w:pStyle w:val="Normal"/>
              <w:ind w:left="113" w:right="113" w:hanging="0"/>
              <w:jc w:val="center"/>
              <w:rPr/>
            </w:pPr>
            <w:r>
              <w:rPr/>
              <w:t xml:space="preserve"> </w:t>
            </w:r>
            <w:r>
              <w:rPr/>
              <w:t>бассейны</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Стадионы</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Плоскостные  сооружения</w:t>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c>
          <w:tcPr>
            <w:tcW w:w="2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 xml:space="preserve">б </w:t>
            </w:r>
            <w:r>
              <w:rPr/>
              <w:t>*К</w:t>
            </w:r>
            <w:r>
              <w:rPr>
                <w:i/>
              </w:rPr>
              <w:t>пк</w:t>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198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в сельских населенных пунктах 30 мин. транспортной доступности</w:t>
            </w:r>
          </w:p>
        </w:tc>
        <w:tc>
          <w:tcPr>
            <w:tcW w:w="212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в сельских населенных пунктах -1-часовая транспортная доступность</w:t>
            </w:r>
          </w:p>
        </w:tc>
        <w:tc>
          <w:tcPr>
            <w:tcW w:w="198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в сельских населенных пунктах 30 мин. транспортной доступности</w:t>
            </w:r>
          </w:p>
        </w:tc>
        <w:tc>
          <w:tcPr>
            <w:tcW w:w="184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в поселковых и сельских населенных пунктах. Д=1500*1=1500м.</w:t>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c>
          <w:tcPr>
            <w:tcW w:w="2125" w:type="dxa"/>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c>
          <w:tcPr>
            <w:tcW w:w="1985" w:type="dxa"/>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c>
          <w:tcPr>
            <w:tcW w:w="1844" w:type="dxa"/>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shd w:color="auto" w:fill="auto" w:val="clear"/>
          </w:tcPr>
          <w:p>
            <w:pPr>
              <w:pStyle w:val="Normal"/>
              <w:widowControl w:val="false"/>
              <w:spacing w:lineRule="atLeast" w:line="240"/>
              <w:rPr>
                <w:sz w:val="22"/>
                <w:szCs w:val="22"/>
              </w:rPr>
            </w:pPr>
            <w:r>
              <w:rPr>
                <w:sz w:val="22"/>
                <w:szCs w:val="22"/>
              </w:rPr>
            </w:r>
          </w:p>
        </w:tc>
        <w:tc>
          <w:tcPr>
            <w:tcW w:w="1985" w:type="dxa"/>
            <w:tcBorders/>
            <w:shd w:color="auto" w:fill="auto" w:val="clear"/>
          </w:tcPr>
          <w:p>
            <w:pPr>
              <w:pStyle w:val="Normal"/>
              <w:jc w:val="center"/>
              <w:rPr/>
            </w:pPr>
            <w:r>
              <w:rPr/>
            </w:r>
          </w:p>
        </w:tc>
        <w:tc>
          <w:tcPr>
            <w:tcW w:w="2125" w:type="dxa"/>
            <w:tcBorders/>
            <w:shd w:color="auto" w:fill="auto" w:val="clear"/>
          </w:tcPr>
          <w:p>
            <w:pPr>
              <w:pStyle w:val="Normal"/>
              <w:jc w:val="center"/>
              <w:rPr/>
            </w:pPr>
            <w:r>
              <w:rPr/>
            </w:r>
          </w:p>
        </w:tc>
        <w:tc>
          <w:tcPr>
            <w:tcW w:w="1985" w:type="dxa"/>
            <w:tcBorders/>
            <w:shd w:color="auto" w:fill="auto" w:val="clear"/>
          </w:tcPr>
          <w:p>
            <w:pPr>
              <w:pStyle w:val="Normal"/>
              <w:jc w:val="center"/>
              <w:rPr/>
            </w:pPr>
            <w:r>
              <w:rPr/>
            </w:r>
          </w:p>
        </w:tc>
        <w:tc>
          <w:tcPr>
            <w:tcW w:w="1844" w:type="dxa"/>
            <w:tcBorders/>
            <w:shd w:color="auto" w:fill="auto" w:val="clear"/>
          </w:tcPr>
          <w:p>
            <w:pPr>
              <w:pStyle w:val="Normal"/>
              <w:jc w:val="center"/>
              <w:rPr/>
            </w:pPr>
            <w:r>
              <w:rPr/>
            </w:r>
          </w:p>
        </w:tc>
      </w:tr>
    </w:tbl>
    <w:p>
      <w:pPr>
        <w:pStyle w:val="Normal"/>
        <w:ind w:firstLine="709"/>
        <w:jc w:val="center"/>
        <w:rPr>
          <w:b/>
          <w:b/>
        </w:rPr>
      </w:pPr>
      <w:r>
        <w:rPr>
          <w:b/>
        </w:rPr>
        <w:t>2.5.3 Объекты культуры и искусства</w:t>
      </w:r>
    </w:p>
    <w:p>
      <w:pPr>
        <w:pStyle w:val="Normal"/>
        <w:ind w:firstLine="709"/>
        <w:jc w:val="center"/>
        <w:rPr>
          <w:b/>
          <w:b/>
        </w:rPr>
      </w:pPr>
      <w:r>
        <w:rPr>
          <w:b/>
        </w:rPr>
      </w:r>
    </w:p>
    <w:p>
      <w:pPr>
        <w:pStyle w:val="Normal"/>
        <w:ind w:firstLine="709"/>
        <w:jc w:val="center"/>
        <w:rPr>
          <w:b/>
          <w:b/>
        </w:rPr>
      </w:pPr>
      <w:r>
        <w:rPr>
          <w:b/>
        </w:rPr>
        <w:t>Расчетные показатели минимально допустимого уровня обеспеченности объектами культуры, досуга, художественного творчества и культуры местного значения населения  муниципального образования «Боханский район»</w:t>
      </w:r>
    </w:p>
    <w:p>
      <w:pPr>
        <w:pStyle w:val="Normal"/>
        <w:ind w:firstLine="709"/>
        <w:jc w:val="center"/>
        <w:rPr>
          <w:b/>
          <w:b/>
        </w:rPr>
      </w:pPr>
      <w:r>
        <w:rPr>
          <w:b/>
        </w:rPr>
      </w:r>
    </w:p>
    <w:p>
      <w:pPr>
        <w:pStyle w:val="Normal"/>
        <w:widowControl w:val="false"/>
        <w:tabs>
          <w:tab w:val="left" w:pos="3544" w:leader="none"/>
        </w:tabs>
        <w:spacing w:lineRule="exact" w:line="285"/>
        <w:ind w:firstLine="720"/>
        <w:jc w:val="both"/>
        <w:rPr>
          <w:b/>
          <w:b/>
        </w:rPr>
      </w:pPr>
      <w:r>
        <w:rPr>
          <w:b/>
          <w:color w:val="000000"/>
        </w:rPr>
        <w:t xml:space="preserve">Базовые показатели для определения обеспеченности объектами </w:t>
      </w:r>
      <w:r>
        <w:rPr>
          <w:b/>
        </w:rPr>
        <w:t>культуры, досуга, художественного творчества и культуры местного значения населения муниципального образования «Боханский район».</w:t>
      </w:r>
    </w:p>
    <w:p>
      <w:pPr>
        <w:pStyle w:val="Normal"/>
        <w:widowControl w:val="false"/>
        <w:tabs>
          <w:tab w:val="left" w:pos="3544" w:leader="none"/>
        </w:tabs>
        <w:spacing w:lineRule="exact" w:line="285"/>
        <w:ind w:firstLine="720"/>
        <w:jc w:val="right"/>
        <w:rPr/>
      </w:pPr>
      <w:r>
        <w:rPr/>
        <w:t xml:space="preserve"> </w:t>
      </w:r>
      <w:r>
        <w:rPr/>
        <w:t>Таблица 7</w:t>
      </w:r>
    </w:p>
    <w:tbl>
      <w:tblPr>
        <w:tblW w:w="957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2392"/>
        <w:gridCol w:w="2392"/>
        <w:gridCol w:w="2393"/>
        <w:gridCol w:w="2392"/>
      </w:tblGrid>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Наименование объектов</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Единица измерения</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величина</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обоснование</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Муниципальные библиотеки</w:t>
            </w:r>
          </w:p>
          <w:p>
            <w:pPr>
              <w:pStyle w:val="Normal"/>
              <w:jc w:val="center"/>
              <w:rPr/>
            </w:pPr>
            <w:r>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объект</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Для сельских населенных пунктов: 1*</w:t>
            </w:r>
          </w:p>
        </w:tc>
        <w:tc>
          <w:tcPr>
            <w:tcW w:w="23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sz w:val="20"/>
                <w:szCs w:val="20"/>
              </w:rPr>
              <w:t>Методика определения нормативной потребности субъектов РФ в объектах социальной инфраструктуры, утвержденная распоряжением Правительства РФ от 19.10.1999г. № 1683-р (в ред. Распоряжения Правительства РФ от 23.11.2009г. № 1767-р)</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Муниципальные музеи</w:t>
            </w:r>
          </w:p>
          <w:p>
            <w:pPr>
              <w:pStyle w:val="Normal"/>
              <w:jc w:val="center"/>
              <w:rPr/>
            </w:pPr>
            <w:r>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объект</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В сельских населенных пунктах 1 на 5-10 тыс. человек**</w:t>
            </w:r>
          </w:p>
        </w:tc>
        <w:tc>
          <w:tcPr>
            <w:tcW w:w="23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 xml:space="preserve">Муниципальные </w:t>
            </w:r>
          </w:p>
          <w:p>
            <w:pPr>
              <w:pStyle w:val="Normal"/>
              <w:ind w:left="113" w:right="113" w:hanging="0"/>
              <w:jc w:val="center"/>
              <w:rPr/>
            </w:pPr>
            <w:r>
              <w:rPr/>
              <w:t>архивы</w:t>
            </w:r>
          </w:p>
          <w:p>
            <w:pPr>
              <w:pStyle w:val="Normal"/>
              <w:jc w:val="center"/>
              <w:rPr/>
            </w:pPr>
            <w:r>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объект</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 xml:space="preserve">1 (на район) </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Учреждения</w:t>
            </w:r>
          </w:p>
          <w:p>
            <w:pPr>
              <w:pStyle w:val="Normal"/>
              <w:ind w:left="113" w:right="113" w:hanging="0"/>
              <w:jc w:val="center"/>
              <w:rPr/>
            </w:pPr>
            <w:r>
              <w:rPr/>
              <w:t>культурно-досугового типа</w:t>
            </w:r>
          </w:p>
          <w:p>
            <w:pPr>
              <w:pStyle w:val="Normal"/>
              <w:ind w:left="113" w:right="113" w:hanging="0"/>
              <w:jc w:val="center"/>
              <w:rPr/>
            </w:pPr>
            <w:r>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зрительные места на 1 тыс.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500 (на район)</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sz w:val="20"/>
                <w:szCs w:val="20"/>
              </w:rPr>
            </w:pPr>
            <w:r>
              <w:rPr>
                <w:sz w:val="20"/>
                <w:szCs w:val="20"/>
              </w:rPr>
              <w:t>СП 42.13330.2011 Градостроительство. Планировка и застройка городских и сельских поселений</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Объекты, связанные с обеспечением организации мероприятий по работе с детьми и молодежью</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кв.м. на 1 тыс. чел.</w:t>
            </w:r>
          </w:p>
          <w:p>
            <w:pPr>
              <w:pStyle w:val="Normal"/>
              <w:jc w:val="center"/>
              <w:rPr/>
            </w:pPr>
            <w:r>
              <w:rPr/>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25</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sz w:val="20"/>
                <w:szCs w:val="20"/>
              </w:rPr>
            </w:pPr>
            <w:r>
              <w:rPr>
                <w:sz w:val="20"/>
                <w:szCs w:val="20"/>
              </w:rPr>
            </w:r>
          </w:p>
        </w:tc>
      </w:tr>
    </w:tbl>
    <w:p>
      <w:pPr>
        <w:pStyle w:val="Normal"/>
        <w:jc w:val="both"/>
        <w:rPr>
          <w:sz w:val="20"/>
          <w:szCs w:val="20"/>
        </w:rPr>
      </w:pPr>
      <w:r>
        <w:rPr>
          <w:sz w:val="20"/>
          <w:szCs w:val="20"/>
        </w:rPr>
        <w:t>* - для населенного пункта до 500 человек – библиотечный пункт (отдел нестационарного обслуживания) поселенческой библиотеки, передвижная библиотека; более 500 чел.- филиал поселенческой библиотеки или общедоступная поселенческая библиотека.</w:t>
      </w:r>
    </w:p>
    <w:p>
      <w:pPr>
        <w:pStyle w:val="Normal"/>
        <w:jc w:val="both"/>
        <w:rPr>
          <w:sz w:val="20"/>
          <w:szCs w:val="20"/>
        </w:rPr>
      </w:pPr>
      <w:r>
        <w:rPr>
          <w:sz w:val="20"/>
          <w:szCs w:val="20"/>
        </w:rPr>
        <w:t>** - из расчета на муниципальный район и крупные сельские поселения, в сельском поселении может быть организован музей с филиалами в населенных пунктах с численностью населения до 1 тыс.чел.</w:t>
      </w:r>
    </w:p>
    <w:p>
      <w:pPr>
        <w:pStyle w:val="Normal"/>
        <w:jc w:val="both"/>
        <w:rPr>
          <w:sz w:val="20"/>
          <w:szCs w:val="20"/>
        </w:rPr>
      </w:pPr>
      <w:r>
        <w:rPr>
          <w:sz w:val="20"/>
          <w:szCs w:val="20"/>
        </w:rPr>
        <w:t>*** - для сельских населенных пунктов возможно размещение одного клубного учреждения на 500 зрительских мест на муниципальный район.</w:t>
      </w:r>
    </w:p>
    <w:p>
      <w:pPr>
        <w:pStyle w:val="Normal"/>
        <w:tabs>
          <w:tab w:val="left" w:pos="3544" w:leader="none"/>
        </w:tabs>
        <w:ind w:firstLine="720"/>
        <w:jc w:val="both"/>
        <w:rPr>
          <w:color w:val="000000"/>
        </w:rPr>
      </w:pPr>
      <w:r>
        <w:rPr>
          <w:color w:val="000000"/>
        </w:rPr>
        <w:t>П  –  расчетные  показатели  минимально  допустимого  уровня обеспеченности  объектами  культуры,  досуга,  художественного  творчества  и  культуры местного значения.</w:t>
      </w:r>
    </w:p>
    <w:p>
      <w:pPr>
        <w:pStyle w:val="Normal"/>
        <w:widowControl w:val="false"/>
        <w:tabs>
          <w:tab w:val="left" w:pos="3544" w:leader="none"/>
        </w:tabs>
        <w:spacing w:lineRule="exact" w:line="210"/>
        <w:ind w:firstLine="720"/>
        <w:jc w:val="both"/>
        <w:rPr>
          <w:color w:val="000000"/>
        </w:rPr>
      </w:pPr>
      <w:r>
        <w:rPr>
          <w:color w:val="000000"/>
        </w:rPr>
        <w:t>П</w:t>
      </w:r>
      <w:r>
        <w:rPr>
          <w:color w:val="000000"/>
          <w:vertAlign w:val="subscript"/>
        </w:rPr>
        <w:t>б</w:t>
      </w:r>
      <w:r>
        <w:rPr>
          <w:color w:val="000000"/>
        </w:rPr>
        <w:t xml:space="preserve"> - базовые показатели для определения обеспеченности объектами культуры, досуга и художественного творчества.</w:t>
      </w:r>
    </w:p>
    <w:p>
      <w:pPr>
        <w:pStyle w:val="Normal"/>
        <w:widowControl w:val="false"/>
        <w:tabs>
          <w:tab w:val="left" w:pos="3544" w:leader="none"/>
        </w:tabs>
        <w:spacing w:lineRule="exact" w:line="210"/>
        <w:ind w:firstLine="720"/>
        <w:jc w:val="both"/>
        <w:rPr>
          <w:color w:val="000000"/>
        </w:rPr>
      </w:pPr>
      <w:r>
        <w:rPr>
          <w:color w:val="000000"/>
        </w:rPr>
        <w:t>К</w:t>
      </w:r>
      <w:r>
        <w:rPr>
          <w:color w:val="000000"/>
          <w:vertAlign w:val="subscript"/>
        </w:rPr>
        <w:t xml:space="preserve">р </w:t>
      </w:r>
      <w:r>
        <w:rPr>
          <w:color w:val="000000"/>
        </w:rPr>
        <w:t>–коэффициент развития муниципального образования «Боханский район»</w:t>
      </w:r>
    </w:p>
    <w:p>
      <w:pPr>
        <w:pStyle w:val="Normal"/>
        <w:tabs>
          <w:tab w:val="left" w:pos="3544" w:leader="none"/>
        </w:tabs>
        <w:ind w:firstLine="720"/>
        <w:jc w:val="both"/>
        <w:rPr/>
      </w:pPr>
      <w:r>
        <w:rPr/>
        <w:t>Определение расчетных показателей минимально допустимого уровня обеспеченности объектами культуры, досуга и художественного творчества местного значения.</w:t>
      </w:r>
    </w:p>
    <w:p>
      <w:pPr>
        <w:pStyle w:val="Normal"/>
        <w:jc w:val="both"/>
        <w:rPr>
          <w:sz w:val="20"/>
          <w:szCs w:val="20"/>
        </w:rPr>
      </w:pPr>
      <w:r>
        <w:rPr>
          <w:sz w:val="20"/>
          <w:szCs w:val="20"/>
        </w:rPr>
      </w:r>
    </w:p>
    <w:p>
      <w:pPr>
        <w:pStyle w:val="Normal"/>
        <w:widowControl w:val="false"/>
        <w:tabs>
          <w:tab w:val="left" w:pos="3544" w:leader="none"/>
        </w:tabs>
        <w:spacing w:lineRule="exact" w:line="280"/>
        <w:ind w:firstLine="720"/>
        <w:jc w:val="both"/>
        <w:rPr>
          <w:b/>
          <w:b/>
          <w:color w:val="000000"/>
        </w:rPr>
      </w:pPr>
      <w:r>
        <w:rPr>
          <w:b/>
          <w:color w:val="000000"/>
        </w:rPr>
        <w:t xml:space="preserve">Расчетные  показатели  минимально  допустимого  уровня обеспеченности </w:t>
      </w:r>
      <w:r>
        <w:rPr>
          <w:b/>
        </w:rPr>
        <w:t xml:space="preserve">объектами культуры, досуга, художественного творчества и культуры местного значения населения муниципального образования «Боханский район» </w:t>
      </w:r>
      <w:r>
        <w:rPr>
          <w:b/>
          <w:color w:val="000000"/>
        </w:rPr>
        <w:t>(П) определены  на  основе  базовых  показателей  и  соответствующих  значений  коэффициента развития (К</w:t>
      </w:r>
      <w:r>
        <w:rPr>
          <w:b/>
          <w:color w:val="000000"/>
          <w:vertAlign w:val="subscript"/>
        </w:rPr>
        <w:t>р</w:t>
      </w:r>
      <w:r>
        <w:rPr>
          <w:b/>
          <w:color w:val="000000"/>
        </w:rPr>
        <w:t>).</w:t>
      </w:r>
    </w:p>
    <w:p>
      <w:pPr>
        <w:pStyle w:val="Normal"/>
        <w:rPr>
          <w:sz w:val="20"/>
          <w:szCs w:val="20"/>
        </w:rPr>
      </w:pPr>
      <w:r>
        <w:rPr>
          <w:sz w:val="20"/>
          <w:szCs w:val="20"/>
        </w:rPr>
      </w:r>
    </w:p>
    <w:p>
      <w:pPr>
        <w:pStyle w:val="Normal"/>
        <w:widowControl w:val="false"/>
        <w:tabs>
          <w:tab w:val="left" w:pos="3544" w:leader="none"/>
        </w:tabs>
        <w:spacing w:lineRule="exact" w:line="285"/>
        <w:ind w:firstLine="720"/>
        <w:jc w:val="center"/>
        <w:rPr/>
      </w:pPr>
      <w:r>
        <w:rPr/>
        <w:t xml:space="preserve">                                                                                                               </w:t>
      </w:r>
      <w:r>
        <w:rPr/>
        <w:t>Таблица 8</w:t>
      </w:r>
    </w:p>
    <w:tbl>
      <w:tblPr>
        <w:tblW w:w="10207"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409"/>
        <w:gridCol w:w="1418"/>
        <w:gridCol w:w="1559"/>
        <w:gridCol w:w="1560"/>
        <w:gridCol w:w="1417"/>
        <w:gridCol w:w="1843"/>
      </w:tblGrid>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797"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3716" w:hRule="exact"/>
          <w:cantSplit w:val="true"/>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Муниципальные библиотеки</w:t>
            </w:r>
          </w:p>
          <w:p>
            <w:pPr>
              <w:pStyle w:val="Normal"/>
              <w:ind w:left="113" w:right="113" w:hanging="0"/>
              <w:jc w:val="center"/>
              <w:rPr/>
            </w:pPr>
            <w:r>
              <w:rPr/>
              <w:t>(объект)</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Муниципальные музеи</w:t>
            </w:r>
          </w:p>
          <w:p>
            <w:pPr>
              <w:pStyle w:val="Normal"/>
              <w:ind w:left="113" w:right="113" w:hanging="0"/>
              <w:jc w:val="center"/>
              <w:rPr/>
            </w:pPr>
            <w:r>
              <w:rPr/>
              <w:t>(объект)</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 xml:space="preserve">Муниципальные </w:t>
            </w:r>
          </w:p>
          <w:p>
            <w:pPr>
              <w:pStyle w:val="Normal"/>
              <w:ind w:left="113" w:right="113" w:hanging="0"/>
              <w:jc w:val="center"/>
              <w:rPr/>
            </w:pPr>
            <w:r>
              <w:rPr/>
              <w:t>архивы</w:t>
            </w:r>
          </w:p>
          <w:p>
            <w:pPr>
              <w:pStyle w:val="Normal"/>
              <w:ind w:left="113" w:right="113" w:hanging="0"/>
              <w:jc w:val="center"/>
              <w:rPr/>
            </w:pPr>
            <w:r>
              <w:rPr/>
              <w:t>(объект)</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Учреждения</w:t>
            </w:r>
          </w:p>
          <w:p>
            <w:pPr>
              <w:pStyle w:val="Normal"/>
              <w:ind w:left="113" w:right="113" w:hanging="0"/>
              <w:jc w:val="center"/>
              <w:rPr/>
            </w:pPr>
            <w:r>
              <w:rPr/>
              <w:t>культурно-досугового типа</w:t>
            </w:r>
          </w:p>
          <w:p>
            <w:pPr>
              <w:pStyle w:val="Normal"/>
              <w:ind w:left="113" w:right="113" w:hanging="0"/>
              <w:jc w:val="center"/>
              <w:rPr/>
            </w:pPr>
            <w:r>
              <w:rPr/>
              <w:t>(зрительные места на 1 тыс. чел.***)</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Объекты, связанные с обеспечением организации мероприятий по работе с детьми и молодежью</w:t>
            </w:r>
          </w:p>
          <w:p>
            <w:pPr>
              <w:pStyle w:val="Normal"/>
              <w:ind w:left="113" w:right="113" w:hanging="0"/>
              <w:jc w:val="center"/>
              <w:rPr/>
            </w:pPr>
            <w:r>
              <w:rPr/>
              <w:t>(кв.м. на 1 тыс. чел.)</w:t>
            </w:r>
          </w:p>
          <w:p>
            <w:pPr>
              <w:pStyle w:val="Normal"/>
              <w:ind w:left="113" w:right="113" w:hanging="0"/>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 xml:space="preserve">б </w:t>
            </w:r>
            <w:r>
              <w:rPr/>
              <w:t>*К</w:t>
            </w:r>
            <w:r>
              <w:rPr>
                <w:i/>
              </w:rPr>
              <w:t>р</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 xml:space="preserve"> *К</w:t>
            </w:r>
            <w:r>
              <w:rPr>
                <w:i/>
              </w:rPr>
              <w:t>р</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141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Для сельских населенных пунктов: 1*</w:t>
            </w:r>
          </w:p>
        </w:tc>
        <w:tc>
          <w:tcPr>
            <w:tcW w:w="155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В сельских населенных пунктах 1 на 5-10 тыс. человек**</w:t>
            </w:r>
          </w:p>
        </w:tc>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1 на муниципальный район</w:t>
            </w:r>
          </w:p>
        </w:tc>
        <w:tc>
          <w:tcPr>
            <w:tcW w:w="14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pPr>
            <w:r>
              <w:rPr/>
            </w:r>
          </w:p>
          <w:p>
            <w:pPr>
              <w:pStyle w:val="Normal"/>
              <w:jc w:val="center"/>
              <w:rPr>
                <w:sz w:val="20"/>
                <w:szCs w:val="20"/>
              </w:rPr>
            </w:pPr>
            <w:r>
              <w:rPr/>
              <w:t>П=500 *1,032=516</w:t>
            </w:r>
            <w:r>
              <w:rPr>
                <w:sz w:val="20"/>
                <w:szCs w:val="20"/>
              </w:rPr>
              <w:t xml:space="preserve"> </w:t>
            </w:r>
          </w:p>
        </w:tc>
        <w:tc>
          <w:tcPr>
            <w:tcW w:w="184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0"/>
                <w:szCs w:val="20"/>
              </w:rPr>
            </w:pPr>
            <w:r>
              <w:rPr>
                <w:sz w:val="20"/>
                <w:szCs w:val="20"/>
              </w:rPr>
            </w:r>
          </w:p>
          <w:p>
            <w:pPr>
              <w:pStyle w:val="Normal"/>
              <w:jc w:val="center"/>
              <w:rPr/>
            </w:pPr>
            <w:r>
              <w:rPr/>
            </w:r>
          </w:p>
          <w:p>
            <w:pPr>
              <w:pStyle w:val="Normal"/>
              <w:jc w:val="center"/>
              <w:rPr>
                <w:sz w:val="20"/>
                <w:szCs w:val="20"/>
              </w:rPr>
            </w:pPr>
            <w:r>
              <w:rPr/>
              <w:t>П=25 *1,032=26</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ind w:firstLine="709"/>
        <w:jc w:val="both"/>
        <w:rPr>
          <w:b/>
          <w:b/>
        </w:rPr>
      </w:pPr>
      <w:r>
        <w:rPr>
          <w:b/>
        </w:rPr>
      </w:r>
    </w:p>
    <w:p>
      <w:pPr>
        <w:pStyle w:val="Normal"/>
        <w:tabs>
          <w:tab w:val="left" w:pos="3544" w:leader="none"/>
        </w:tabs>
        <w:ind w:firstLine="720"/>
        <w:jc w:val="both"/>
        <w:rPr>
          <w:color w:val="000000"/>
        </w:rPr>
      </w:pPr>
      <w:r>
        <w:rPr>
          <w:color w:val="000000"/>
        </w:rPr>
        <w:t>Д - расчетные показатели максимально  допустимого  уровня территориальной  доступности  объектов  культуры,  досуга  и  художественного  творчества местного значения.</w:t>
      </w:r>
    </w:p>
    <w:p>
      <w:pPr>
        <w:pStyle w:val="Normal"/>
        <w:tabs>
          <w:tab w:val="left" w:pos="3544" w:leader="none"/>
        </w:tabs>
        <w:jc w:val="both"/>
        <w:rPr>
          <w:color w:val="000000"/>
        </w:rPr>
      </w:pPr>
      <w:r>
        <w:rPr>
          <w:color w:val="000000"/>
        </w:rPr>
        <w:t>Д</w:t>
      </w:r>
      <w:r>
        <w:rPr>
          <w:color w:val="000000"/>
          <w:vertAlign w:val="subscript"/>
        </w:rPr>
        <w:t xml:space="preserve"> б</w:t>
      </w:r>
      <w:r>
        <w:rPr>
          <w:color w:val="000000"/>
        </w:rPr>
        <w:t xml:space="preserve"> – базовые показатели для определения территориальной доступности.</w:t>
      </w:r>
    </w:p>
    <w:p>
      <w:pPr>
        <w:pStyle w:val="Normal"/>
        <w:tabs>
          <w:tab w:val="left" w:pos="3544" w:leader="none"/>
        </w:tabs>
        <w:jc w:val="both"/>
        <w:rPr>
          <w:color w:val="000000"/>
        </w:rPr>
      </w:pPr>
      <w:r>
        <w:rPr>
          <w:color w:val="000000"/>
        </w:rPr>
        <w:t>К</w:t>
      </w:r>
      <w:r>
        <w:rPr>
          <w:color w:val="000000"/>
          <w:vertAlign w:val="subscript"/>
        </w:rPr>
        <w:t xml:space="preserve">пк </w:t>
      </w:r>
      <w:r>
        <w:rPr>
          <w:color w:val="000000"/>
        </w:rPr>
        <w:t>–</w:t>
      </w:r>
      <w:r>
        <w:rPr>
          <w:color w:val="000000"/>
          <w:vertAlign w:val="superscript"/>
        </w:rPr>
        <w:t xml:space="preserve"> </w:t>
      </w:r>
      <w:r>
        <w:rPr>
          <w:color w:val="000000"/>
        </w:rPr>
        <w:t>коэффициент, учитывающий природно-климатические особенности.</w:t>
      </w:r>
    </w:p>
    <w:p>
      <w:pPr>
        <w:pStyle w:val="Normal"/>
        <w:jc w:val="both"/>
        <w:rPr>
          <w:b/>
          <w:b/>
        </w:rPr>
      </w:pPr>
      <w:r>
        <w:rPr>
          <w:b/>
        </w:rPr>
      </w:r>
    </w:p>
    <w:p>
      <w:pPr>
        <w:pStyle w:val="Normal"/>
        <w:ind w:firstLine="709"/>
        <w:jc w:val="both"/>
        <w:rPr>
          <w:b/>
          <w:b/>
        </w:rPr>
      </w:pPr>
      <w:r>
        <w:rPr>
          <w:b/>
        </w:rPr>
      </w:r>
    </w:p>
    <w:p>
      <w:pPr>
        <w:pStyle w:val="Normal"/>
        <w:ind w:firstLine="709"/>
        <w:jc w:val="both"/>
        <w:rPr>
          <w:b/>
          <w:b/>
        </w:rPr>
      </w:pPr>
      <w:r>
        <w:rPr>
          <w:b/>
        </w:rPr>
        <w:t>Расчетные показатели максимально допустимого уровня территориальной доступности объектов культуры, досуга, художественного творчества и культуры местного значения для населения муниципального образования «Боханский район»</w:t>
      </w:r>
    </w:p>
    <w:p>
      <w:pPr>
        <w:pStyle w:val="Normal"/>
        <w:ind w:firstLine="709"/>
        <w:jc w:val="both"/>
        <w:rPr>
          <w:b/>
          <w:b/>
        </w:rPr>
      </w:pPr>
      <w:r>
        <w:rPr>
          <w:b/>
        </w:rPr>
      </w:r>
    </w:p>
    <w:p>
      <w:pPr>
        <w:pStyle w:val="Normal"/>
        <w:jc w:val="center"/>
        <w:rPr/>
      </w:pPr>
      <w:r>
        <w:rPr/>
        <w:t xml:space="preserve">                                                                                                                       </w:t>
      </w:r>
      <w:r>
        <w:rPr/>
        <w:t xml:space="preserve">Таблица 9 </w:t>
      </w:r>
    </w:p>
    <w:tbl>
      <w:tblPr>
        <w:tblW w:w="10207"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409"/>
        <w:gridCol w:w="1418"/>
        <w:gridCol w:w="1559"/>
        <w:gridCol w:w="1560"/>
        <w:gridCol w:w="1417"/>
        <w:gridCol w:w="1843"/>
      </w:tblGrid>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797"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3716" w:hRule="exact"/>
          <w:cantSplit w:val="true"/>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Муниципальные библиотеки</w:t>
            </w:r>
          </w:p>
          <w:p>
            <w:pPr>
              <w:pStyle w:val="Normal"/>
              <w:ind w:left="113" w:right="113" w:hanging="0"/>
              <w:jc w:val="center"/>
              <w:rPr/>
            </w:pPr>
            <w:r>
              <w:rPr/>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Муниципальные музеи</w:t>
            </w:r>
          </w:p>
          <w:p>
            <w:pPr>
              <w:pStyle w:val="Normal"/>
              <w:ind w:left="113" w:right="113" w:hanging="0"/>
              <w:jc w:val="center"/>
              <w:rPr/>
            </w:pPr>
            <w:r>
              <w:rP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 xml:space="preserve">Муниципальные </w:t>
            </w:r>
          </w:p>
          <w:p>
            <w:pPr>
              <w:pStyle w:val="Normal"/>
              <w:ind w:left="113" w:right="113" w:hanging="0"/>
              <w:jc w:val="center"/>
              <w:rPr/>
            </w:pPr>
            <w:r>
              <w:rPr/>
              <w:t>архивы</w:t>
            </w:r>
          </w:p>
          <w:p>
            <w:pPr>
              <w:pStyle w:val="Normal"/>
              <w:ind w:left="113" w:right="113" w:hanging="0"/>
              <w:jc w:val="center"/>
              <w:rPr/>
            </w:pPr>
            <w:r>
              <w:rP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Учреждения</w:t>
            </w:r>
          </w:p>
          <w:p>
            <w:pPr>
              <w:pStyle w:val="Normal"/>
              <w:ind w:left="113" w:right="113" w:hanging="0"/>
              <w:jc w:val="center"/>
              <w:rPr/>
            </w:pPr>
            <w:r>
              <w:rPr/>
              <w:t>культурно-досугового типа</w:t>
            </w:r>
          </w:p>
          <w:p>
            <w:pPr>
              <w:pStyle w:val="Normal"/>
              <w:ind w:left="113" w:right="113" w:hanging="0"/>
              <w:jc w:val="center"/>
              <w:rPr/>
            </w:pPr>
            <w:r>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Объекты, связанные с обеспечением организации мероприятий по работе с детьми и молодежью</w:t>
            </w:r>
          </w:p>
          <w:p>
            <w:pPr>
              <w:pStyle w:val="Normal"/>
              <w:ind w:left="113" w:right="113" w:hanging="0"/>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r>
              <w:rPr/>
              <w:t xml:space="preserve"> *К</w:t>
            </w:r>
            <w:r>
              <w:rPr>
                <w:i/>
              </w:rPr>
              <w:t>пк</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 xml:space="preserve">б </w:t>
            </w:r>
            <w:r>
              <w:rPr/>
              <w:t>*К</w:t>
            </w:r>
            <w:r>
              <w:rPr>
                <w:i/>
              </w:rPr>
              <w:t>пк</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141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В сельских населенных пунктах 30 мин. транспортной доступности</w:t>
            </w:r>
          </w:p>
        </w:tc>
        <w:tc>
          <w:tcPr>
            <w:tcW w:w="155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2-часовая транспортная доступность</w:t>
            </w:r>
          </w:p>
        </w:tc>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2- часовая транспортная доступность</w:t>
            </w:r>
          </w:p>
        </w:tc>
        <w:tc>
          <w:tcPr>
            <w:tcW w:w="14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 xml:space="preserve">В сельских населенных пунктах 30 мин. транспортной доступности </w:t>
            </w:r>
          </w:p>
          <w:p>
            <w:pPr>
              <w:pStyle w:val="Normal"/>
              <w:jc w:val="center"/>
              <w:rPr>
                <w:sz w:val="20"/>
                <w:szCs w:val="20"/>
              </w:rPr>
            </w:pPr>
            <w:r>
              <w:rPr>
                <w:sz w:val="20"/>
                <w:szCs w:val="20"/>
              </w:rPr>
            </w:r>
          </w:p>
        </w:tc>
        <w:tc>
          <w:tcPr>
            <w:tcW w:w="184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30 мин. транспортной доступности в  сельских населенных пунктах</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widowControl w:val="false"/>
        <w:tabs>
          <w:tab w:val="left" w:pos="3544" w:leader="none"/>
        </w:tabs>
        <w:spacing w:lineRule="exact" w:line="285"/>
        <w:jc w:val="center"/>
        <w:rPr>
          <w:b/>
          <w:b/>
        </w:rPr>
      </w:pPr>
      <w:r>
        <w:rPr>
          <w:b/>
        </w:rPr>
      </w:r>
    </w:p>
    <w:p>
      <w:pPr>
        <w:pStyle w:val="Normal"/>
        <w:ind w:firstLine="709"/>
        <w:jc w:val="center"/>
        <w:rPr>
          <w:b/>
          <w:b/>
        </w:rPr>
      </w:pPr>
      <w:r>
        <w:rPr>
          <w:b/>
        </w:rPr>
        <w:t>2.5.4 Объекты образования</w:t>
      </w:r>
    </w:p>
    <w:p>
      <w:pPr>
        <w:pStyle w:val="Normal"/>
        <w:ind w:firstLine="709"/>
        <w:jc w:val="center"/>
        <w:rPr>
          <w:b/>
          <w:b/>
        </w:rPr>
      </w:pPr>
      <w:r>
        <w:rPr>
          <w:b/>
        </w:rPr>
      </w:r>
    </w:p>
    <w:p>
      <w:pPr>
        <w:pStyle w:val="Normal"/>
        <w:ind w:firstLine="709"/>
        <w:jc w:val="both"/>
        <w:rPr>
          <w:b/>
          <w:b/>
        </w:rPr>
      </w:pPr>
      <w:r>
        <w:rPr>
          <w:b/>
        </w:rPr>
        <w:t>Расчетные значения расчетных показателей минимально допустимого уровня обеспеченности объектами образования местного значения населения муниципального образования «Боханский район».</w:t>
      </w:r>
    </w:p>
    <w:p>
      <w:pPr>
        <w:pStyle w:val="Normal"/>
        <w:ind w:firstLine="709"/>
        <w:jc w:val="both"/>
        <w:rPr/>
      </w:pPr>
      <w:r>
        <w:rPr/>
        <w:t xml:space="preserve">На основании данных государственной статистики общая численность населения муниципального образования на 01.01.2016г.  составляет 24940 человек, </w:t>
      </w:r>
    </w:p>
    <w:p>
      <w:pPr>
        <w:pStyle w:val="Normal"/>
        <w:ind w:firstLine="709"/>
        <w:jc w:val="both"/>
        <w:rPr>
          <w:b/>
          <w:b/>
        </w:rPr>
      </w:pPr>
      <w:r>
        <w:rPr>
          <w:b/>
        </w:rPr>
        <w:t>Основные направления развития сети общеобразовательных учреждений на перспективу</w:t>
      </w:r>
    </w:p>
    <w:p>
      <w:pPr>
        <w:pStyle w:val="Normal"/>
        <w:ind w:firstLine="709"/>
        <w:jc w:val="both"/>
        <w:rPr/>
      </w:pPr>
      <w:r>
        <w:rPr/>
        <w:t>Перспективная потребность вместимости общеобразовательных учреждений зависит от численности детей, которая колеблется в зависимости от изменения рождаемости. Ниже, в таблице №1 приведен ориентировочный расчет перспективной численности детей.</w:t>
      </w:r>
    </w:p>
    <w:p>
      <w:pPr>
        <w:pStyle w:val="Normal"/>
        <w:ind w:firstLine="709"/>
        <w:jc w:val="both"/>
        <w:rPr/>
      </w:pPr>
      <w:r>
        <w:rPr/>
      </w:r>
    </w:p>
    <w:p>
      <w:pPr>
        <w:pStyle w:val="Normal"/>
        <w:ind w:firstLine="709"/>
        <w:jc w:val="center"/>
        <w:rPr>
          <w:b/>
          <w:b/>
        </w:rPr>
      </w:pPr>
      <w:r>
        <w:rPr>
          <w:b/>
        </w:rPr>
        <w:t>Ориентировочный расчет численности детей по возрастам.</w:t>
      </w:r>
    </w:p>
    <w:p>
      <w:pPr>
        <w:pStyle w:val="Normal"/>
        <w:ind w:right="175" w:hanging="0"/>
        <w:jc w:val="right"/>
        <w:rPr/>
      </w:pPr>
      <w:r>
        <w:rPr/>
        <w:t>Таблица №1</w:t>
      </w:r>
    </w:p>
    <w:tbl>
      <w:tblPr>
        <w:tblW w:w="9427" w:type="dxa"/>
        <w:jc w:val="center"/>
        <w:tblInd w:w="0" w:type="dxa"/>
        <w:tblBorders>
          <w:top w:val="single" w:sz="4" w:space="0" w:color="00000A"/>
          <w:left w:val="single" w:sz="4" w:space="0" w:color="00000A"/>
          <w:right w:val="single" w:sz="4" w:space="0" w:color="00000A"/>
          <w:insideV w:val="single" w:sz="4" w:space="0" w:color="00000A"/>
        </w:tblBorders>
        <w:tblCellMar>
          <w:top w:w="0" w:type="dxa"/>
          <w:left w:w="103" w:type="dxa"/>
          <w:bottom w:w="0" w:type="dxa"/>
          <w:right w:w="108" w:type="dxa"/>
        </w:tblCellMar>
        <w:tblLook w:val="0000"/>
      </w:tblPr>
      <w:tblGrid>
        <w:gridCol w:w="529"/>
        <w:gridCol w:w="2152"/>
        <w:gridCol w:w="1544"/>
        <w:gridCol w:w="1000"/>
        <w:gridCol w:w="729"/>
        <w:gridCol w:w="1"/>
        <w:gridCol w:w="1542"/>
        <w:gridCol w:w="1049"/>
        <w:gridCol w:w="879"/>
      </w:tblGrid>
      <w:tr>
        <w:trPr>
          <w:trHeight w:val="255" w:hRule="atLeast"/>
          <w:cantSplit w:val="true"/>
        </w:trPr>
        <w:tc>
          <w:tcPr>
            <w:tcW w:w="529" w:type="dxa"/>
            <w:vMerge w:val="restart"/>
            <w:tcBorders>
              <w:top w:val="single" w:sz="4" w:space="0" w:color="00000A"/>
              <w:left w:val="single" w:sz="4" w:space="0" w:color="00000A"/>
              <w:right w:val="single" w:sz="4" w:space="0" w:color="00000A"/>
              <w:insideV w:val="single" w:sz="4" w:space="0" w:color="00000A"/>
            </w:tcBorders>
            <w:shd w:fill="auto" w:val="clear"/>
            <w:tcMar>
              <w:left w:w="103" w:type="dxa"/>
            </w:tcMar>
          </w:tcPr>
          <w:p>
            <w:pPr>
              <w:pStyle w:val="Normal"/>
              <w:ind w:left="-72" w:right="-76" w:firstLine="23"/>
              <w:jc w:val="center"/>
              <w:rPr/>
            </w:pPr>
            <w:r>
              <w:rPr/>
            </w:r>
          </w:p>
          <w:p>
            <w:pPr>
              <w:pStyle w:val="Normal"/>
              <w:ind w:left="-72" w:right="-76" w:firstLine="23"/>
              <w:jc w:val="center"/>
              <w:rPr/>
            </w:pPr>
            <w:r>
              <w:rPr/>
              <w:t>№№</w:t>
            </w:r>
          </w:p>
          <w:p>
            <w:pPr>
              <w:pStyle w:val="Normal"/>
              <w:jc w:val="center"/>
              <w:rPr/>
            </w:pPr>
            <w:r>
              <w:rPr/>
            </w:r>
          </w:p>
          <w:p>
            <w:pPr>
              <w:pStyle w:val="Normal"/>
              <w:jc w:val="center"/>
              <w:rPr/>
            </w:pPr>
            <w:r>
              <w:rPr/>
              <w:t>п</w:t>
            </w:r>
            <w:r>
              <w:rPr>
                <w:lang w:val="en-US"/>
              </w:rPr>
              <w:t>/</w:t>
            </w:r>
            <w:r>
              <w:rPr/>
              <w:t xml:space="preserve">п </w:t>
            </w:r>
          </w:p>
        </w:tc>
        <w:tc>
          <w:tcPr>
            <w:tcW w:w="215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Возрастные группы</w:t>
            </w:r>
          </w:p>
        </w:tc>
        <w:tc>
          <w:tcPr>
            <w:tcW w:w="3274"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Удельный вес в общей численности населения района, %</w:t>
            </w:r>
          </w:p>
        </w:tc>
        <w:tc>
          <w:tcPr>
            <w:tcW w:w="347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Численность детей,</w:t>
            </w:r>
          </w:p>
          <w:p>
            <w:pPr>
              <w:pStyle w:val="Normal"/>
              <w:jc w:val="center"/>
              <w:rPr/>
            </w:pPr>
            <w:r>
              <w:rPr/>
              <w:t>Тыс.чел.</w:t>
            </w:r>
          </w:p>
        </w:tc>
      </w:tr>
      <w:tr>
        <w:trPr>
          <w:trHeight w:val="255" w:hRule="atLeast"/>
          <w:cantSplit w:val="true"/>
        </w:trPr>
        <w:tc>
          <w:tcPr>
            <w:tcW w:w="529"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r>
          </w:p>
        </w:tc>
        <w:tc>
          <w:tcPr>
            <w:tcW w:w="215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pPr>
            <w:r>
              <w:rPr/>
            </w:r>
          </w:p>
        </w:tc>
        <w:tc>
          <w:tcPr>
            <w:tcW w:w="15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Современное</w:t>
            </w:r>
          </w:p>
          <w:p>
            <w:pPr>
              <w:pStyle w:val="Normal"/>
              <w:jc w:val="center"/>
              <w:rPr/>
            </w:pPr>
            <w:r>
              <w:rPr/>
              <w:t>состояние</w:t>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Первая</w:t>
            </w:r>
          </w:p>
          <w:p>
            <w:pPr>
              <w:pStyle w:val="Normal"/>
              <w:jc w:val="center"/>
              <w:rPr/>
            </w:pPr>
            <w:r>
              <w:rPr/>
              <w:t>очередь</w:t>
            </w:r>
          </w:p>
        </w:tc>
        <w:tc>
          <w:tcPr>
            <w:tcW w:w="7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Расч. срок</w:t>
            </w:r>
          </w:p>
        </w:tc>
        <w:tc>
          <w:tcPr>
            <w:tcW w:w="1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Современное</w:t>
            </w:r>
          </w:p>
          <w:p>
            <w:pPr>
              <w:pStyle w:val="Normal"/>
              <w:jc w:val="center"/>
              <w:rPr/>
            </w:pPr>
            <w:r>
              <w:rPr/>
              <w:t>состояние</w:t>
            </w:r>
          </w:p>
        </w:tc>
        <w:tc>
          <w:tcPr>
            <w:tcW w:w="10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Первая</w:t>
            </w:r>
          </w:p>
          <w:p>
            <w:pPr>
              <w:pStyle w:val="Normal"/>
              <w:jc w:val="center"/>
              <w:rPr/>
            </w:pPr>
            <w:r>
              <w:rPr/>
              <w:t>очередь</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Расч. срок</w:t>
            </w:r>
          </w:p>
        </w:tc>
      </w:tr>
      <w:tr>
        <w:trPr>
          <w:trHeight w:val="255" w:hRule="atLeast"/>
          <w:cantSplit w:val="true"/>
        </w:trPr>
        <w:tc>
          <w:tcPr>
            <w:tcW w:w="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w:t>
            </w:r>
          </w:p>
        </w:tc>
        <w:tc>
          <w:tcPr>
            <w:tcW w:w="2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2</w:t>
            </w:r>
          </w:p>
        </w:tc>
        <w:tc>
          <w:tcPr>
            <w:tcW w:w="15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3</w:t>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4</w:t>
            </w:r>
          </w:p>
        </w:tc>
        <w:tc>
          <w:tcPr>
            <w:tcW w:w="7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5</w:t>
            </w:r>
          </w:p>
        </w:tc>
        <w:tc>
          <w:tcPr>
            <w:tcW w:w="1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6</w:t>
            </w:r>
          </w:p>
        </w:tc>
        <w:tc>
          <w:tcPr>
            <w:tcW w:w="10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7</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8</w:t>
            </w:r>
          </w:p>
        </w:tc>
      </w:tr>
      <w:tr>
        <w:trPr>
          <w:trHeight w:val="255" w:hRule="atLeast"/>
        </w:trPr>
        <w:tc>
          <w:tcPr>
            <w:tcW w:w="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2</w:t>
            </w:r>
          </w:p>
        </w:tc>
        <w:tc>
          <w:tcPr>
            <w:tcW w:w="2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0-6лет</w:t>
            </w:r>
          </w:p>
        </w:tc>
        <w:tc>
          <w:tcPr>
            <w:tcW w:w="15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11,2</w:t>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11,1</w:t>
            </w:r>
          </w:p>
        </w:tc>
        <w:tc>
          <w:tcPr>
            <w:tcW w:w="7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11,4</w:t>
            </w:r>
          </w:p>
        </w:tc>
        <w:tc>
          <w:tcPr>
            <w:tcW w:w="1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3,1</w:t>
            </w:r>
          </w:p>
        </w:tc>
        <w:tc>
          <w:tcPr>
            <w:tcW w:w="10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3,0</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3,2</w:t>
            </w:r>
          </w:p>
        </w:tc>
      </w:tr>
      <w:tr>
        <w:trPr>
          <w:trHeight w:val="255" w:hRule="atLeast"/>
        </w:trPr>
        <w:tc>
          <w:tcPr>
            <w:tcW w:w="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3</w:t>
            </w:r>
          </w:p>
        </w:tc>
        <w:tc>
          <w:tcPr>
            <w:tcW w:w="2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7-17лет</w:t>
            </w:r>
          </w:p>
        </w:tc>
        <w:tc>
          <w:tcPr>
            <w:tcW w:w="15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13,3</w:t>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13,0</w:t>
            </w:r>
          </w:p>
        </w:tc>
        <w:tc>
          <w:tcPr>
            <w:tcW w:w="7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14,3</w:t>
            </w:r>
          </w:p>
        </w:tc>
        <w:tc>
          <w:tcPr>
            <w:tcW w:w="1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3,7</w:t>
            </w:r>
          </w:p>
        </w:tc>
        <w:tc>
          <w:tcPr>
            <w:tcW w:w="10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3,5</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4,0</w:t>
            </w:r>
          </w:p>
        </w:tc>
      </w:tr>
    </w:tbl>
    <w:p>
      <w:pPr>
        <w:pStyle w:val="Normal"/>
        <w:ind w:firstLine="720"/>
        <w:jc w:val="both"/>
        <w:rPr>
          <w:color w:val="FF0000"/>
        </w:rPr>
      </w:pPr>
      <w:r>
        <w:rPr>
          <w:color w:val="FF0000"/>
        </w:rPr>
      </w:r>
    </w:p>
    <w:p>
      <w:pPr>
        <w:pStyle w:val="Normal"/>
        <w:ind w:firstLine="720"/>
        <w:jc w:val="both"/>
        <w:rPr/>
      </w:pPr>
      <w:r>
        <w:rPr/>
        <w:t>Ниже, в таблице №2, приведен расчет в учреждениях народного образования.</w:t>
      </w:r>
    </w:p>
    <w:p>
      <w:pPr>
        <w:pStyle w:val="Normal"/>
        <w:jc w:val="both"/>
        <w:rPr/>
      </w:pPr>
      <w:r>
        <w:rPr/>
      </w:r>
    </w:p>
    <w:p>
      <w:pPr>
        <w:pStyle w:val="13"/>
        <w:jc w:val="center"/>
        <w:rPr>
          <w:b/>
          <w:b/>
          <w:sz w:val="24"/>
          <w:szCs w:val="24"/>
        </w:rPr>
      </w:pPr>
      <w:r>
        <w:rPr>
          <w:b/>
          <w:sz w:val="24"/>
          <w:szCs w:val="24"/>
        </w:rPr>
        <w:t>Расчет потребности в учреждениях образования на перспективу</w:t>
      </w:r>
    </w:p>
    <w:p>
      <w:pPr>
        <w:pStyle w:val="Normal"/>
        <w:ind w:right="895" w:hanging="0"/>
        <w:jc w:val="right"/>
        <w:rPr/>
      </w:pPr>
      <w:r>
        <w:rPr/>
        <w:t>Таблица №2</w:t>
      </w:r>
    </w:p>
    <w:tbl>
      <w:tblPr>
        <w:tblW w:w="8125"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518"/>
        <w:gridCol w:w="3749"/>
        <w:gridCol w:w="1471"/>
        <w:gridCol w:w="1065"/>
        <w:gridCol w:w="1322"/>
      </w:tblGrid>
      <w:tr>
        <w:trPr/>
        <w:tc>
          <w:tcPr>
            <w:tcW w:w="5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left="-183" w:right="-55" w:hanging="0"/>
              <w:jc w:val="center"/>
              <w:rPr/>
            </w:pPr>
            <w:r>
              <w:rPr/>
              <w:t>№№</w:t>
            </w:r>
          </w:p>
          <w:p>
            <w:pPr>
              <w:pStyle w:val="Normal"/>
              <w:ind w:left="-183" w:right="-55" w:hanging="0"/>
              <w:jc w:val="center"/>
              <w:rPr/>
            </w:pPr>
            <w:r>
              <w:rPr/>
              <w:t>п/п</w:t>
            </w:r>
          </w:p>
        </w:tc>
        <w:tc>
          <w:tcPr>
            <w:tcW w:w="3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Учреждения образования</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Современное</w:t>
            </w:r>
          </w:p>
          <w:p>
            <w:pPr>
              <w:pStyle w:val="Normal"/>
              <w:jc w:val="center"/>
              <w:rPr/>
            </w:pPr>
            <w:r>
              <w:rPr/>
              <w:t>состояние</w:t>
            </w:r>
          </w:p>
        </w:tc>
        <w:tc>
          <w:tcPr>
            <w:tcW w:w="10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Первая</w:t>
            </w:r>
          </w:p>
          <w:p>
            <w:pPr>
              <w:pStyle w:val="Normal"/>
              <w:jc w:val="center"/>
              <w:rPr/>
            </w:pPr>
            <w:r>
              <w:rPr/>
              <w:t>очередь</w:t>
            </w:r>
          </w:p>
        </w:tc>
        <w:tc>
          <w:tcPr>
            <w:tcW w:w="13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Расчетный</w:t>
            </w:r>
          </w:p>
          <w:p>
            <w:pPr>
              <w:pStyle w:val="Normal"/>
              <w:jc w:val="center"/>
              <w:rPr/>
            </w:pPr>
            <w:r>
              <w:rPr/>
              <w:t>срок</w:t>
            </w:r>
          </w:p>
        </w:tc>
      </w:tr>
      <w:tr>
        <w:trPr/>
        <w:tc>
          <w:tcPr>
            <w:tcW w:w="5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1</w:t>
            </w:r>
          </w:p>
        </w:tc>
        <w:tc>
          <w:tcPr>
            <w:tcW w:w="3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2</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3</w:t>
            </w:r>
          </w:p>
        </w:tc>
        <w:tc>
          <w:tcPr>
            <w:tcW w:w="10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4</w:t>
            </w:r>
          </w:p>
        </w:tc>
        <w:tc>
          <w:tcPr>
            <w:tcW w:w="13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5</w:t>
            </w:r>
          </w:p>
        </w:tc>
      </w:tr>
      <w:tr>
        <w:trPr>
          <w:trHeight w:val="477" w:hRule="atLeast"/>
        </w:trPr>
        <w:tc>
          <w:tcPr>
            <w:tcW w:w="5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1</w:t>
            </w:r>
          </w:p>
        </w:tc>
        <w:tc>
          <w:tcPr>
            <w:tcW w:w="3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Детские дошкольные, тыс. детей</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1,0</w:t>
            </w:r>
          </w:p>
        </w:tc>
        <w:tc>
          <w:tcPr>
            <w:tcW w:w="10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1,0</w:t>
            </w:r>
          </w:p>
        </w:tc>
        <w:tc>
          <w:tcPr>
            <w:tcW w:w="13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1,2</w:t>
            </w:r>
          </w:p>
        </w:tc>
      </w:tr>
      <w:tr>
        <w:trPr/>
        <w:tc>
          <w:tcPr>
            <w:tcW w:w="5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2</w:t>
            </w:r>
          </w:p>
        </w:tc>
        <w:tc>
          <w:tcPr>
            <w:tcW w:w="3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Государственные общеобразовательные школы, при занятиях в одну смену, тыс.мест</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3,5</w:t>
            </w:r>
          </w:p>
        </w:tc>
        <w:tc>
          <w:tcPr>
            <w:tcW w:w="10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3,3</w:t>
            </w:r>
          </w:p>
        </w:tc>
        <w:tc>
          <w:tcPr>
            <w:tcW w:w="13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3,8</w:t>
            </w:r>
          </w:p>
        </w:tc>
      </w:tr>
    </w:tbl>
    <w:p>
      <w:pPr>
        <w:pStyle w:val="Normal"/>
        <w:ind w:firstLine="709"/>
        <w:jc w:val="both"/>
        <w:rPr/>
      </w:pPr>
      <w:r>
        <w:rPr/>
      </w:r>
    </w:p>
    <w:p>
      <w:pPr>
        <w:pStyle w:val="Normal"/>
        <w:ind w:firstLine="709"/>
        <w:jc w:val="both"/>
        <w:rPr/>
      </w:pPr>
      <w:r>
        <w:rPr/>
        <w:t>в том числе 3103 человека в возрасте от 0 до 7 лет включительно. Следовательно, на 1000 человек населения приходится 80 детей дошкольного возраста.</w:t>
      </w:r>
    </w:p>
    <w:p>
      <w:pPr>
        <w:pStyle w:val="Normal"/>
        <w:ind w:firstLine="709"/>
        <w:jc w:val="both"/>
        <w:rPr/>
      </w:pPr>
      <w:r>
        <w:rPr/>
        <w:t>Следует учесть, что начиная с 2011 года доля женщин, находящихся в возрасте, наиболее благоприятном для рождения ребенка, сокращается на 40%. Соответственно данный показатель обуславливается тем фактором, что в данной категории женщин начнет преобладать возрастная группа рождённых после 1991 года, когда произошел резкий спад рождаемости. Размер детородной базы района начнет расти лишь с начала 2020-х годов, когда в фертильный возраст  вступят женщины, родившиеся после 2000 года, когда уровень рождаемости начал постепенно повышаться. Таким образом, на перспективу следует ввести понижающий коэффициент изменения возрастной структуры (снижения рождаемости), равный 0,8.</w:t>
      </w:r>
    </w:p>
    <w:p>
      <w:pPr>
        <w:pStyle w:val="Normal"/>
        <w:ind w:firstLine="709"/>
        <w:jc w:val="both"/>
        <w:rPr/>
      </w:pPr>
      <w:r>
        <w:rPr/>
        <w:t xml:space="preserve">Учитывая, что детей в возрасте от 1,5 до 7 лет – 2715 человека (обеспечить детскими учреждениями необходимо 95%), то на 1000 человек населения необходимо 66 мест дошкольного учреждения.  </w:t>
      </w:r>
    </w:p>
    <w:p>
      <w:pPr>
        <w:pStyle w:val="Normal"/>
        <w:ind w:firstLine="709"/>
        <w:jc w:val="both"/>
        <w:rPr/>
      </w:pPr>
      <w:r>
        <w:rPr/>
        <w:t>Численность населения Боханского района в возрасте от 7 до 17 лет -3455 человек.</w:t>
      </w:r>
    </w:p>
    <w:p>
      <w:pPr>
        <w:pStyle w:val="Normal"/>
        <w:ind w:firstLine="709"/>
        <w:jc w:val="both"/>
        <w:rPr/>
      </w:pPr>
      <w:r>
        <w:rPr/>
        <w:t>Минимальные расчетные показатели обеспечения объектами начального, основного и среднего общего образования определяются в зависимости от прогноза демографической структуры детского населения, исходя из обеспечения:</w:t>
      </w:r>
    </w:p>
    <w:p>
      <w:pPr>
        <w:pStyle w:val="Normal"/>
        <w:ind w:firstLine="709"/>
        <w:jc w:val="both"/>
        <w:rPr/>
      </w:pPr>
      <w:r>
        <w:rPr/>
        <w:t>1) Начальным общим (1-4 классы) и основным общим (5-9 классы) образованием 100% детей;</w:t>
      </w:r>
    </w:p>
    <w:p>
      <w:pPr>
        <w:pStyle w:val="Normal"/>
        <w:ind w:firstLine="709"/>
        <w:jc w:val="both"/>
        <w:rPr/>
      </w:pPr>
      <w:r>
        <w:rPr/>
        <w:t>2) средним (полным) общим образованием (10-11 классы) 75% детей при обучении в одну смену (допустимо обучение 10% учащихся во вторую смену).</w:t>
      </w:r>
    </w:p>
    <w:p>
      <w:pPr>
        <w:pStyle w:val="Normal"/>
        <w:ind w:firstLine="709"/>
        <w:jc w:val="both"/>
        <w:rPr>
          <w:u w:val="single"/>
        </w:rPr>
      </w:pPr>
      <w:r>
        <w:rPr>
          <w:u w:val="single"/>
        </w:rPr>
        <w:t>Дошкольное образование:</w:t>
      </w:r>
    </w:p>
    <w:p>
      <w:pPr>
        <w:pStyle w:val="Normal"/>
        <w:ind w:firstLine="709"/>
        <w:jc w:val="both"/>
        <w:rPr/>
      </w:pPr>
      <w:r>
        <w:rPr/>
        <w:t>П</w:t>
      </w:r>
      <w:r>
        <w:rPr>
          <w:vertAlign w:val="subscript"/>
        </w:rPr>
        <w:t>б</w:t>
      </w:r>
      <w:r>
        <w:rPr/>
        <w:t>=Ч</w:t>
      </w:r>
      <w:r>
        <w:rPr>
          <w:vertAlign w:val="subscript"/>
        </w:rPr>
        <w:t>1,5-7</w:t>
      </w:r>
      <w:r>
        <w:rPr/>
        <w:t>/Ч</w:t>
      </w:r>
      <w:r>
        <w:rPr>
          <w:vertAlign w:val="subscript"/>
        </w:rPr>
        <w:t>общ</w:t>
      </w:r>
      <w:r>
        <w:rPr/>
        <w:t>=2715/103,057=85 мест на 1000 чел.</w:t>
      </w:r>
    </w:p>
    <w:p>
      <w:pPr>
        <w:pStyle w:val="Normal"/>
        <w:ind w:firstLine="709"/>
        <w:jc w:val="both"/>
        <w:rPr/>
      </w:pPr>
      <w:r>
        <w:rPr/>
        <w:t>Ч</w:t>
      </w:r>
      <w:r>
        <w:rPr>
          <w:vertAlign w:val="subscript"/>
        </w:rPr>
        <w:t xml:space="preserve">1,5-7 </w:t>
      </w:r>
      <w:r>
        <w:rPr/>
        <w:t>– численность детей в возрасте 1,5 до 7 лет в Боханском районе на 01.01.2014г.</w:t>
      </w:r>
    </w:p>
    <w:p>
      <w:pPr>
        <w:pStyle w:val="Normal"/>
        <w:ind w:firstLine="709"/>
        <w:jc w:val="both"/>
        <w:rPr/>
      </w:pPr>
      <w:r>
        <w:rPr/>
        <w:t>Ч</w:t>
      </w:r>
      <w:r>
        <w:rPr>
          <w:vertAlign w:val="subscript"/>
        </w:rPr>
        <w:t xml:space="preserve">общ </w:t>
      </w:r>
      <w:r>
        <w:rPr/>
        <w:t>– численность постоянного населения Боханского района на 01.01.2016г.</w:t>
      </w:r>
    </w:p>
    <w:p>
      <w:pPr>
        <w:pStyle w:val="Normal"/>
        <w:ind w:firstLine="709"/>
        <w:jc w:val="both"/>
        <w:rPr/>
      </w:pPr>
      <w:r>
        <w:rPr/>
        <w:t>Понижающий коэффициент изменения возрастной структуры (К</w:t>
      </w:r>
      <w:r>
        <w:rPr>
          <w:vertAlign w:val="subscript"/>
        </w:rPr>
        <w:t>нп</w:t>
      </w:r>
      <w:r>
        <w:rPr/>
        <w:t>): 0,95 (95% детей необходимо обеспечить детскими садами).</w:t>
      </w:r>
    </w:p>
    <w:p>
      <w:pPr>
        <w:pStyle w:val="Normal"/>
        <w:ind w:firstLine="709"/>
        <w:jc w:val="both"/>
        <w:rPr>
          <w:u w:val="single"/>
        </w:rPr>
      </w:pPr>
      <w:r>
        <w:rPr>
          <w:u w:val="single"/>
        </w:rPr>
        <w:t>Общеобразовательные школы</w:t>
      </w:r>
    </w:p>
    <w:p>
      <w:pPr>
        <w:pStyle w:val="Normal"/>
        <w:ind w:firstLine="709"/>
        <w:jc w:val="both"/>
        <w:rPr/>
      </w:pPr>
      <w:r>
        <w:rPr/>
        <w:t>П</w:t>
      </w:r>
      <w:r>
        <w:rPr>
          <w:vertAlign w:val="subscript"/>
        </w:rPr>
        <w:t>б</w:t>
      </w:r>
      <w:r>
        <w:rPr/>
        <w:t>=Ч</w:t>
      </w:r>
      <w:r>
        <w:rPr>
          <w:vertAlign w:val="subscript"/>
        </w:rPr>
        <w:t>7-18</w:t>
      </w:r>
      <w:r>
        <w:rPr/>
        <w:t>/Ч</w:t>
      </w:r>
      <w:r>
        <w:rPr>
          <w:vertAlign w:val="subscript"/>
        </w:rPr>
        <w:t>общ</w:t>
      </w:r>
      <w:r>
        <w:rPr/>
        <w:t>=3455/103,057=121 место на 1000 чел.</w:t>
      </w:r>
    </w:p>
    <w:p>
      <w:pPr>
        <w:pStyle w:val="Normal"/>
        <w:ind w:firstLine="709"/>
        <w:jc w:val="both"/>
        <w:rPr/>
      </w:pPr>
      <w:r>
        <w:rPr/>
        <w:t>Ч</w:t>
      </w:r>
      <w:r>
        <w:rPr>
          <w:vertAlign w:val="subscript"/>
        </w:rPr>
        <w:t xml:space="preserve">7-18 </w:t>
      </w:r>
      <w:r>
        <w:rPr/>
        <w:t>- численность детей в возрасте 7 до 18 лет в Боханском районе на 01.01.2016г.</w:t>
      </w:r>
    </w:p>
    <w:p>
      <w:pPr>
        <w:pStyle w:val="Normal"/>
        <w:ind w:firstLine="709"/>
        <w:jc w:val="both"/>
        <w:rPr/>
      </w:pPr>
      <w:r>
        <w:rPr/>
      </w:r>
    </w:p>
    <w:p>
      <w:pPr>
        <w:pStyle w:val="Normal"/>
        <w:widowControl w:val="false"/>
        <w:tabs>
          <w:tab w:val="left" w:pos="3544" w:leader="none"/>
        </w:tabs>
        <w:spacing w:lineRule="exact" w:line="285"/>
        <w:ind w:firstLine="720"/>
        <w:jc w:val="both"/>
        <w:rPr>
          <w:b/>
          <w:b/>
        </w:rPr>
      </w:pPr>
      <w:r>
        <w:rPr>
          <w:b/>
          <w:color w:val="000000"/>
        </w:rPr>
        <w:t xml:space="preserve">Базовые показатели для определения обеспеченности </w:t>
      </w:r>
      <w:r>
        <w:rPr>
          <w:b/>
        </w:rPr>
        <w:t>объектами образования местного значения населения  муниципального образования «Боханский район».</w:t>
      </w:r>
    </w:p>
    <w:p>
      <w:pPr>
        <w:pStyle w:val="Normal"/>
        <w:widowControl w:val="false"/>
        <w:tabs>
          <w:tab w:val="left" w:pos="3544" w:leader="none"/>
        </w:tabs>
        <w:spacing w:lineRule="exact" w:line="285"/>
        <w:ind w:firstLine="720"/>
        <w:jc w:val="right"/>
        <w:rPr>
          <w:b/>
          <w:b/>
        </w:rPr>
      </w:pPr>
      <w:r>
        <w:rPr/>
        <w:t>Таблица 10</w:t>
      </w:r>
    </w:p>
    <w:tbl>
      <w:tblPr>
        <w:tblW w:w="957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2542"/>
        <w:gridCol w:w="2333"/>
        <w:gridCol w:w="2325"/>
        <w:gridCol w:w="2369"/>
      </w:tblGrid>
      <w:tr>
        <w:trPr/>
        <w:tc>
          <w:tcPr>
            <w:tcW w:w="25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Наименование объектов</w:t>
            </w:r>
          </w:p>
        </w:tc>
        <w:tc>
          <w:tcPr>
            <w:tcW w:w="2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Единица измерения</w:t>
            </w:r>
          </w:p>
        </w:tc>
        <w:tc>
          <w:tcPr>
            <w:tcW w:w="23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величина</w:t>
            </w:r>
          </w:p>
        </w:tc>
        <w:tc>
          <w:tcPr>
            <w:tcW w:w="2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обоснование</w:t>
            </w:r>
          </w:p>
        </w:tc>
      </w:tr>
      <w:tr>
        <w:trPr/>
        <w:tc>
          <w:tcPr>
            <w:tcW w:w="25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Дошкольные</w:t>
            </w:r>
          </w:p>
          <w:p>
            <w:pPr>
              <w:pStyle w:val="Normal"/>
              <w:jc w:val="center"/>
              <w:rPr/>
            </w:pPr>
            <w:r>
              <w:rPr/>
              <w:t>образовательные организации*</w:t>
            </w:r>
          </w:p>
          <w:p>
            <w:pPr>
              <w:pStyle w:val="Normal"/>
              <w:jc w:val="center"/>
              <w:rPr/>
            </w:pPr>
            <w:r>
              <w:rPr/>
            </w:r>
          </w:p>
        </w:tc>
        <w:tc>
          <w:tcPr>
            <w:tcW w:w="2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мест на 1 тыс.чел.</w:t>
            </w:r>
          </w:p>
        </w:tc>
        <w:tc>
          <w:tcPr>
            <w:tcW w:w="23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56" w:right="-103" w:firstLine="56"/>
              <w:jc w:val="center"/>
              <w:rPr/>
            </w:pPr>
            <w:r>
              <w:rPr/>
              <w:t>85</w:t>
            </w:r>
          </w:p>
        </w:tc>
        <w:tc>
          <w:tcPr>
            <w:tcW w:w="236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sz w:val="20"/>
                <w:szCs w:val="20"/>
              </w:rPr>
              <w:t>СП 42.13330.2011 Градостроительство. Планировка и застройка городских и сельских поселений</w:t>
            </w:r>
          </w:p>
        </w:tc>
      </w:tr>
      <w:tr>
        <w:trPr/>
        <w:tc>
          <w:tcPr>
            <w:tcW w:w="25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Общеобразовательные организации*</w:t>
            </w:r>
          </w:p>
          <w:p>
            <w:pPr>
              <w:pStyle w:val="Normal"/>
              <w:jc w:val="center"/>
              <w:rPr/>
            </w:pPr>
            <w:r>
              <w:rPr/>
            </w:r>
          </w:p>
        </w:tc>
        <w:tc>
          <w:tcPr>
            <w:tcW w:w="2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мест на 1 тыс. чел.</w:t>
            </w:r>
          </w:p>
        </w:tc>
        <w:tc>
          <w:tcPr>
            <w:tcW w:w="23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125</w:t>
            </w:r>
          </w:p>
        </w:tc>
        <w:tc>
          <w:tcPr>
            <w:tcW w:w="236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Организации</w:t>
            </w:r>
          </w:p>
          <w:p>
            <w:pPr>
              <w:pStyle w:val="Normal"/>
              <w:jc w:val="center"/>
              <w:rPr/>
            </w:pPr>
            <w:r>
              <w:rPr/>
              <w:t>дополнительного образования*</w:t>
            </w:r>
          </w:p>
        </w:tc>
        <w:tc>
          <w:tcPr>
            <w:tcW w:w="2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мест на 1 тыс. чел.</w:t>
            </w:r>
          </w:p>
        </w:tc>
        <w:tc>
          <w:tcPr>
            <w:tcW w:w="23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12</w:t>
            </w:r>
          </w:p>
        </w:tc>
        <w:tc>
          <w:tcPr>
            <w:tcW w:w="236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widowControl w:val="false"/>
        <w:tabs>
          <w:tab w:val="left" w:pos="3544" w:leader="none"/>
        </w:tabs>
        <w:spacing w:lineRule="exact" w:line="280"/>
        <w:ind w:firstLine="720"/>
        <w:jc w:val="both"/>
        <w:rPr>
          <w:b/>
          <w:b/>
          <w:color w:val="000000"/>
        </w:rPr>
      </w:pPr>
      <w:r>
        <w:rPr>
          <w:b/>
          <w:color w:val="000000"/>
        </w:rPr>
      </w:r>
    </w:p>
    <w:p>
      <w:pPr>
        <w:pStyle w:val="Normal"/>
        <w:widowControl w:val="false"/>
        <w:tabs>
          <w:tab w:val="left" w:pos="3544" w:leader="none"/>
        </w:tabs>
        <w:spacing w:lineRule="exact" w:line="280"/>
        <w:ind w:firstLine="720"/>
        <w:jc w:val="both"/>
        <w:rPr>
          <w:b/>
          <w:b/>
          <w:color w:val="000000"/>
        </w:rPr>
      </w:pPr>
      <w:r>
        <w:rPr>
          <w:b/>
          <w:color w:val="000000"/>
        </w:rPr>
      </w:r>
    </w:p>
    <w:p>
      <w:pPr>
        <w:pStyle w:val="Normal"/>
        <w:widowControl w:val="false"/>
        <w:tabs>
          <w:tab w:val="left" w:pos="3544" w:leader="none"/>
        </w:tabs>
        <w:spacing w:lineRule="exact" w:line="280"/>
        <w:ind w:firstLine="720"/>
        <w:jc w:val="both"/>
        <w:rPr>
          <w:b/>
          <w:b/>
          <w:color w:val="000000"/>
        </w:rPr>
      </w:pPr>
      <w:r>
        <w:rPr>
          <w:b/>
          <w:color w:val="000000"/>
        </w:rPr>
      </w:r>
    </w:p>
    <w:p>
      <w:pPr>
        <w:pStyle w:val="Normal"/>
        <w:widowControl w:val="false"/>
        <w:tabs>
          <w:tab w:val="left" w:pos="3544" w:leader="none"/>
        </w:tabs>
        <w:spacing w:lineRule="exact" w:line="280"/>
        <w:ind w:firstLine="720"/>
        <w:jc w:val="both"/>
        <w:rPr/>
      </w:pPr>
      <w:r>
        <w:rPr>
          <w:b/>
          <w:color w:val="000000"/>
        </w:rPr>
        <w:t xml:space="preserve">Расчетные  показатели  минимально  допустимого  уровня обеспеченности </w:t>
      </w:r>
      <w:r>
        <w:rPr>
          <w:b/>
        </w:rPr>
        <w:t xml:space="preserve">объектами образования местного значения населения муниципального образования «Боханский район» </w:t>
      </w:r>
      <w:r>
        <w:rPr>
          <w:b/>
          <w:color w:val="000000"/>
        </w:rPr>
        <w:t>(П) определены  на  основе  базовых  показателей  и  соответствующих  значений  коэффициента развития (К</w:t>
      </w:r>
      <w:r>
        <w:rPr>
          <w:b/>
          <w:color w:val="000000"/>
          <w:vertAlign w:val="subscript"/>
        </w:rPr>
        <w:t>р</w:t>
      </w:r>
      <w:r>
        <w:rPr>
          <w:b/>
          <w:color w:val="000000"/>
        </w:rPr>
        <w:t xml:space="preserve"> ).</w:t>
      </w:r>
    </w:p>
    <w:p>
      <w:pPr>
        <w:pStyle w:val="Normal"/>
        <w:ind w:firstLine="709"/>
        <w:jc w:val="right"/>
        <w:rPr/>
      </w:pPr>
      <w:r>
        <w:rPr/>
        <w:t>Таблица 11</w:t>
      </w:r>
    </w:p>
    <w:tbl>
      <w:tblPr>
        <w:tblW w:w="10207"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409"/>
        <w:gridCol w:w="2836"/>
        <w:gridCol w:w="2551"/>
        <w:gridCol w:w="2410"/>
      </w:tblGrid>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79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1986" w:hRule="exact"/>
          <w:cantSplit w:val="true"/>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Дошкольные</w:t>
            </w:r>
          </w:p>
          <w:p>
            <w:pPr>
              <w:pStyle w:val="Normal"/>
              <w:jc w:val="center"/>
              <w:rPr/>
            </w:pPr>
            <w:r>
              <w:rPr/>
              <w:t>образовательные организации</w:t>
            </w:r>
          </w:p>
          <w:p>
            <w:pPr>
              <w:pStyle w:val="Normal"/>
              <w:ind w:left="113" w:right="113" w:hanging="0"/>
              <w:jc w:val="center"/>
              <w:rPr/>
            </w:pPr>
            <w:r>
              <w:rPr/>
              <w:t>(мест на 1 тыс.чел.)</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Общеобразовательные организации</w:t>
            </w:r>
          </w:p>
          <w:p>
            <w:pPr>
              <w:pStyle w:val="Normal"/>
              <w:ind w:left="113" w:right="113" w:hanging="0"/>
              <w:jc w:val="center"/>
              <w:rPr/>
            </w:pPr>
            <w:r>
              <w:rPr/>
              <w:t>(мест на 1 тыс.чел.)</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Организации</w:t>
            </w:r>
          </w:p>
          <w:p>
            <w:pPr>
              <w:pStyle w:val="Normal"/>
              <w:jc w:val="center"/>
              <w:rPr/>
            </w:pPr>
            <w:r>
              <w:rPr/>
              <w:t>дополнительного образования</w:t>
            </w:r>
          </w:p>
          <w:p>
            <w:pPr>
              <w:pStyle w:val="Normal"/>
              <w:ind w:left="113" w:right="113" w:hanging="0"/>
              <w:jc w:val="center"/>
              <w:rPr/>
            </w:pPr>
            <w:r>
              <w:rPr/>
              <w:t>(мест на 1 тыс.чел.)</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 К</w:t>
            </w:r>
            <w:r>
              <w:rPr>
                <w:i/>
              </w:rPr>
              <w:t>вс</w:t>
            </w:r>
            <w:r>
              <w:rPr/>
              <w:t>*К</w:t>
            </w:r>
            <w:r>
              <w:rPr>
                <w:i/>
              </w:rPr>
              <w:t>р</w:t>
            </w:r>
            <w:r>
              <w:rPr/>
              <w:t>*К</w:t>
            </w:r>
            <w:r>
              <w:rPr>
                <w:i/>
              </w:rPr>
              <w:t>кнп</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 xml:space="preserve"> *К</w:t>
            </w:r>
            <w:r>
              <w:rPr>
                <w:i/>
              </w:rPr>
              <w:t>р</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*К</w:t>
            </w:r>
            <w:r>
              <w:rPr>
                <w:i/>
              </w:rPr>
              <w:t>р</w:t>
            </w:r>
            <w:r>
              <w:rPr/>
              <w:t>*0,1</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28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П=85* 0,8*1,03*0,95=67</w:t>
            </w:r>
          </w:p>
        </w:tc>
        <w:tc>
          <w:tcPr>
            <w:tcW w:w="25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П=121 *1,03=125</w:t>
            </w:r>
          </w:p>
        </w:tc>
        <w:tc>
          <w:tcPr>
            <w:tcW w:w="241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П=121*1,03*0,1=12</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jc w:val="both"/>
        <w:rPr>
          <w:sz w:val="20"/>
          <w:szCs w:val="20"/>
        </w:rPr>
      </w:pPr>
      <w:r>
        <w:rPr>
          <w:sz w:val="20"/>
          <w:szCs w:val="20"/>
        </w:rPr>
        <w:t>* - возможно размещение малокомплектных учреждений «начальная школа-детский сад», размещение учреждений II и III ступеней обучения в местных, подрайонных и районных центрах межселенного значение с обеспечением транспортной доступности.</w:t>
      </w:r>
    </w:p>
    <w:p>
      <w:pPr>
        <w:pStyle w:val="Normal"/>
        <w:rPr>
          <w:sz w:val="20"/>
          <w:szCs w:val="20"/>
        </w:rPr>
      </w:pPr>
      <w:r>
        <w:rPr>
          <w:sz w:val="20"/>
          <w:szCs w:val="20"/>
        </w:rPr>
      </w:r>
    </w:p>
    <w:p>
      <w:pPr>
        <w:pStyle w:val="Normal"/>
        <w:ind w:firstLine="709"/>
        <w:jc w:val="both"/>
        <w:rPr>
          <w:b/>
          <w:b/>
        </w:rPr>
      </w:pPr>
      <w:r>
        <w:rPr>
          <w:b/>
        </w:rPr>
        <w:t>Расчетные показатели максимально допустимого уровня территориальной доступности объектов образования местного значения для населения муниципального образования «Боханский район».</w:t>
      </w:r>
    </w:p>
    <w:p>
      <w:pPr>
        <w:pStyle w:val="Normal"/>
        <w:ind w:firstLine="709"/>
        <w:jc w:val="both"/>
        <w:rPr/>
      </w:pPr>
      <w:r>
        <w:rPr/>
        <w:t>Д - расчетный показатель максимально-допустимого уровня территориальной доступности объектов образования местного значения.</w:t>
      </w:r>
    </w:p>
    <w:p>
      <w:pPr>
        <w:pStyle w:val="Normal"/>
        <w:ind w:firstLine="709"/>
        <w:jc w:val="both"/>
        <w:rPr/>
      </w:pPr>
      <w:r>
        <w:rPr/>
        <w:t>Д</w:t>
      </w:r>
      <w:r>
        <w:rPr>
          <w:i/>
        </w:rPr>
        <w:t>б</w:t>
      </w:r>
      <w:r>
        <w:rPr/>
        <w:t xml:space="preserve"> – базовые показатели для определения территориальной доступности объектов образования.</w:t>
      </w:r>
    </w:p>
    <w:p>
      <w:pPr>
        <w:pStyle w:val="Normal"/>
        <w:ind w:firstLine="709"/>
        <w:jc w:val="both"/>
        <w:rPr/>
      </w:pPr>
      <w:r>
        <w:rPr/>
        <w:t>К</w:t>
      </w:r>
      <w:r>
        <w:rPr>
          <w:i/>
        </w:rPr>
        <w:t>пк</w:t>
      </w:r>
      <w:r>
        <w:rPr/>
        <w:t xml:space="preserve"> – коэффициент, учитывающий природно-климатические условия.</w:t>
      </w:r>
    </w:p>
    <w:p>
      <w:pPr>
        <w:pStyle w:val="Normal"/>
        <w:jc w:val="right"/>
        <w:rPr/>
      </w:pPr>
      <w:r>
        <w:rPr/>
        <w:t>Таблица 12</w:t>
      </w:r>
    </w:p>
    <w:tbl>
      <w:tblPr>
        <w:tblW w:w="10207"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409"/>
        <w:gridCol w:w="2836"/>
        <w:gridCol w:w="2551"/>
        <w:gridCol w:w="2410"/>
      </w:tblGrid>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79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1560" w:hRule="exact"/>
          <w:cantSplit w:val="true"/>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Дошкольные</w:t>
            </w:r>
          </w:p>
          <w:p>
            <w:pPr>
              <w:pStyle w:val="Normal"/>
              <w:jc w:val="center"/>
              <w:rPr/>
            </w:pPr>
            <w:r>
              <w:rPr/>
              <w:t>образовательные организации</w:t>
            </w:r>
          </w:p>
          <w:p>
            <w:pPr>
              <w:pStyle w:val="Normal"/>
              <w:ind w:left="113" w:right="113" w:hanging="0"/>
              <w:jc w:val="center"/>
              <w:rPr/>
            </w:pPr>
            <w:r>
              <w:rPr/>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Общеобразовательные организации</w:t>
            </w:r>
          </w:p>
          <w:p>
            <w:pPr>
              <w:pStyle w:val="Normal"/>
              <w:ind w:left="113" w:right="113" w:hanging="0"/>
              <w:jc w:val="center"/>
              <w:rPr/>
            </w:pPr>
            <w:r>
              <w:rPr/>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Организации</w:t>
            </w:r>
          </w:p>
          <w:p>
            <w:pPr>
              <w:pStyle w:val="Normal"/>
              <w:jc w:val="center"/>
              <w:rPr/>
            </w:pPr>
            <w:r>
              <w:rPr/>
              <w:t>дополнительного образования</w:t>
            </w:r>
          </w:p>
          <w:p>
            <w:pPr>
              <w:pStyle w:val="Normal"/>
              <w:ind w:left="113" w:right="113" w:hanging="0"/>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r>
              <w:rPr/>
              <w:t>* К</w:t>
            </w:r>
            <w:r>
              <w:rPr>
                <w:i/>
              </w:rPr>
              <w:t>пк</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r>
              <w:rPr/>
              <w:t>* К</w:t>
            </w:r>
            <w:r>
              <w:rPr>
                <w:i/>
              </w:rPr>
              <w:t>пк</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28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pPr>
            <w:r>
              <w:rPr/>
              <w:t xml:space="preserve">в городском населенном пункте: при многоэтажной застройке Д=300*1=300 м, при малоэтажной застройке  Д=500*1=500 м; </w:t>
            </w:r>
          </w:p>
          <w:p>
            <w:pPr>
              <w:pStyle w:val="Normal"/>
              <w:jc w:val="center"/>
              <w:rPr>
                <w:sz w:val="20"/>
                <w:szCs w:val="20"/>
              </w:rPr>
            </w:pPr>
            <w:r>
              <w:rPr/>
              <w:t>в сельских населенных пунктах Д=500*1=500 м.</w:t>
            </w:r>
          </w:p>
        </w:tc>
        <w:tc>
          <w:tcPr>
            <w:tcW w:w="25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в городском населенном пункте  Д=750*1=750 м (для начальных классов Д=500*1=500 м) в сельской местности на расстоянии транспортной доступности: для учащихся I ступени обучения – 15 минут (в одну сторону), для учащихся II-III ступеней – не более 50 минут (в одну сторону)*</w:t>
            </w:r>
          </w:p>
        </w:tc>
        <w:tc>
          <w:tcPr>
            <w:tcW w:w="241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в городском населенном пункте на расстоянии транспортной доступности не более 30 мин, в сельских населенных пунктах – не более 60 мин.</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jc w:val="both"/>
        <w:rPr>
          <w:sz w:val="20"/>
          <w:szCs w:val="20"/>
        </w:rPr>
      </w:pPr>
      <w:r>
        <w:rPr>
          <w:sz w:val="20"/>
          <w:szCs w:val="20"/>
        </w:rPr>
        <w:t>* - радиус обслуживания обучающихся II-III ступеней не должен превышать 15 км. Транспортному обслуживанию подлежат учащиеся сельских общеобразовательных учреждений, проживающие на расстоянии свыше 1 км от учреждения.</w:t>
      </w:r>
    </w:p>
    <w:p>
      <w:pPr>
        <w:pStyle w:val="Normal"/>
        <w:tabs>
          <w:tab w:val="left" w:pos="3544" w:leader="none"/>
        </w:tabs>
        <w:ind w:firstLine="709"/>
        <w:jc w:val="center"/>
        <w:rPr/>
      </w:pPr>
      <w:r>
        <w:rPr/>
      </w:r>
    </w:p>
    <w:p>
      <w:pPr>
        <w:pStyle w:val="Normal"/>
        <w:ind w:firstLine="709"/>
        <w:jc w:val="center"/>
        <w:rPr>
          <w:b/>
          <w:b/>
        </w:rPr>
      </w:pPr>
      <w:r>
        <w:rPr>
          <w:b/>
        </w:rPr>
        <w:t>2.5.5 Объекты автомобильного транспорта</w:t>
      </w:r>
    </w:p>
    <w:p>
      <w:pPr>
        <w:pStyle w:val="Normal"/>
        <w:ind w:firstLine="709"/>
        <w:jc w:val="both"/>
        <w:rPr>
          <w:b/>
          <w:b/>
        </w:rPr>
      </w:pPr>
      <w:r>
        <w:rPr>
          <w:b/>
        </w:rPr>
      </w:r>
    </w:p>
    <w:p>
      <w:pPr>
        <w:pStyle w:val="Normal"/>
        <w:ind w:firstLine="709"/>
        <w:jc w:val="both"/>
        <w:rPr>
          <w:b/>
          <w:b/>
        </w:rPr>
      </w:pPr>
      <w:r>
        <w:rPr>
          <w:b/>
        </w:rPr>
        <w:t xml:space="preserve"> </w:t>
      </w:r>
      <w:r>
        <w:rPr>
          <w:b/>
        </w:rPr>
        <w:t>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муниципального образования «Боханский район».</w:t>
      </w:r>
    </w:p>
    <w:p>
      <w:pPr>
        <w:pStyle w:val="Normal"/>
        <w:tabs>
          <w:tab w:val="left" w:pos="4202" w:leader="none"/>
        </w:tabs>
        <w:rPr>
          <w:b/>
          <w:b/>
        </w:rPr>
      </w:pPr>
      <w:r>
        <w:rPr>
          <w:b/>
        </w:rPr>
        <w:tab/>
      </w:r>
    </w:p>
    <w:p>
      <w:pPr>
        <w:pStyle w:val="Normal"/>
        <w:tabs>
          <w:tab w:val="left" w:pos="3544" w:leader="none"/>
        </w:tabs>
        <w:ind w:firstLine="720"/>
        <w:jc w:val="both"/>
        <w:rPr/>
      </w:pPr>
      <w:r>
        <w:rPr/>
        <w:t xml:space="preserve">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местного значения.         </w:t>
      </w:r>
    </w:p>
    <w:p>
      <w:pPr>
        <w:pStyle w:val="Normal"/>
        <w:tabs>
          <w:tab w:val="left" w:pos="3544" w:leader="none"/>
        </w:tabs>
        <w:ind w:firstLine="720"/>
        <w:jc w:val="both"/>
        <w:rPr/>
      </w:pPr>
      <w:r>
        <w:rPr/>
        <w:t xml:space="preserve"> </w:t>
      </w:r>
      <w:r>
        <w:rPr/>
        <w:t>Протяженность сети автомобильных дорог общего пользования – суммарная протяженность участков автомобильных дорог, образующих сеть автомобильных дорог общего пользования.</w:t>
      </w:r>
    </w:p>
    <w:p>
      <w:pPr>
        <w:pStyle w:val="Normal"/>
        <w:tabs>
          <w:tab w:val="left" w:pos="3544" w:leader="none"/>
        </w:tabs>
        <w:ind w:firstLine="720"/>
        <w:jc w:val="both"/>
        <w:rPr/>
      </w:pPr>
      <w:r>
        <w:rPr/>
        <w:t>Плотность сети автомобильных дорог – это отношение протяженности сети автомобильных дорог общего пользования, проходящих по территории, к площади территории.</w:t>
      </w:r>
    </w:p>
    <w:p>
      <w:pPr>
        <w:pStyle w:val="Normal"/>
        <w:tabs>
          <w:tab w:val="left" w:pos="3544" w:leader="none"/>
        </w:tabs>
        <w:ind w:firstLine="720"/>
        <w:rPr/>
      </w:pPr>
      <w:r>
        <w:rPr/>
        <w:t xml:space="preserve"> </w:t>
      </w:r>
      <w:r>
        <w:rPr/>
        <w:t>Формула расчета:</w:t>
      </w:r>
    </w:p>
    <w:p>
      <w:pPr>
        <w:pStyle w:val="Normal"/>
        <w:tabs>
          <w:tab w:val="left" w:pos="3544" w:leader="none"/>
        </w:tabs>
        <w:ind w:firstLine="720"/>
        <w:jc w:val="both"/>
        <w:rPr/>
      </w:pPr>
      <w:r>
        <w:rPr/>
        <w:t>П-плотность сети автомобильных дорог;</w:t>
      </w:r>
    </w:p>
    <w:p>
      <w:pPr>
        <w:pStyle w:val="Normal"/>
        <w:tabs>
          <w:tab w:val="left" w:pos="3544" w:leader="none"/>
        </w:tabs>
        <w:ind w:firstLine="720"/>
        <w:jc w:val="both"/>
        <w:rPr/>
      </w:pPr>
      <w:r>
        <w:rPr>
          <w:i/>
          <w:lang w:val="en-US"/>
        </w:rPr>
        <w:t>S</w:t>
      </w:r>
      <w:r>
        <w:rPr>
          <w:i/>
          <w:vertAlign w:val="subscript"/>
        </w:rPr>
        <w:t>тер</w:t>
      </w:r>
      <w:r>
        <w:rPr/>
        <w:t xml:space="preserve"> – площадь территории района;</w:t>
      </w:r>
    </w:p>
    <w:p>
      <w:pPr>
        <w:pStyle w:val="Normal"/>
        <w:tabs>
          <w:tab w:val="left" w:pos="3544" w:leader="none"/>
        </w:tabs>
        <w:ind w:firstLine="720"/>
        <w:jc w:val="both"/>
        <w:rPr/>
      </w:pPr>
      <w:r>
        <w:rPr>
          <w:i/>
          <w:lang w:val="en-US"/>
        </w:rPr>
        <w:t>L</w:t>
      </w:r>
      <w:r>
        <w:rPr>
          <w:i/>
          <w:vertAlign w:val="subscript"/>
        </w:rPr>
        <w:t>м.зн</w:t>
      </w:r>
      <w:r>
        <w:rPr/>
        <w:t>.– протяженность сети автомобильных дорог общего пользования местного значения</w:t>
      </w:r>
    </w:p>
    <w:p>
      <w:pPr>
        <w:pStyle w:val="Normal"/>
        <w:tabs>
          <w:tab w:val="left" w:pos="3544" w:leader="none"/>
        </w:tabs>
        <w:ind w:firstLine="709"/>
        <w:jc w:val="both"/>
        <w:rPr/>
      </w:pPr>
      <w:r>
        <w:rPr/>
        <w:t>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местного значения.</w:t>
      </w:r>
    </w:p>
    <w:p>
      <w:pPr>
        <w:pStyle w:val="Normal"/>
        <w:tabs>
          <w:tab w:val="left" w:pos="3544" w:leader="none"/>
        </w:tabs>
        <w:ind w:firstLine="709"/>
        <w:jc w:val="both"/>
        <w:rPr/>
      </w:pPr>
      <w:r>
        <w:rPr/>
      </w:r>
    </w:p>
    <w:p>
      <w:pPr>
        <w:pStyle w:val="Normal"/>
        <w:tabs>
          <w:tab w:val="left" w:pos="3544" w:leader="none"/>
        </w:tabs>
        <w:ind w:firstLine="709"/>
        <w:jc w:val="both"/>
        <w:rPr/>
      </w:pPr>
      <w:r>
        <w:rPr>
          <w:b/>
        </w:rPr>
        <w:t>Расчетные показатели плотности сети автомобильных дорог  общего пользования в  муниципальном образовании «Боханский район»</w:t>
      </w:r>
    </w:p>
    <w:p>
      <w:pPr>
        <w:pStyle w:val="Normal"/>
        <w:jc w:val="center"/>
        <w:rPr>
          <w:b/>
          <w:b/>
        </w:rPr>
      </w:pPr>
      <w:r>
        <w:rPr>
          <w:b/>
        </w:rPr>
      </w:r>
    </w:p>
    <w:p>
      <w:pPr>
        <w:pStyle w:val="Normal"/>
        <w:ind w:firstLine="709"/>
        <w:jc w:val="both"/>
        <w:rPr/>
      </w:pPr>
      <w:r>
        <w:rPr/>
        <w:t>Общая протяженность автомобильных дорог в границах района составляет (</w:t>
      </w:r>
      <w:r>
        <w:rPr>
          <w:lang w:val="en-US"/>
        </w:rPr>
        <w:t>S</w:t>
      </w:r>
      <w:r>
        <w:rPr>
          <w:sz w:val="16"/>
          <w:szCs w:val="16"/>
        </w:rPr>
        <w:t>тер.)</w:t>
      </w:r>
      <w:r>
        <w:rPr/>
        <w:t xml:space="preserve"> 438,668 км. Дороги регионального значения – 132,976 км, дороги местного значения (</w:t>
      </w:r>
      <w:r>
        <w:rPr>
          <w:lang w:val="en-US"/>
        </w:rPr>
        <w:t>L</w:t>
      </w:r>
      <w:r>
        <w:rPr>
          <w:sz w:val="16"/>
          <w:szCs w:val="16"/>
        </w:rPr>
        <w:t>м.зн.</w:t>
      </w:r>
      <w:r>
        <w:rPr/>
        <w:t>) 305,692 км. Все автомобильные дороги имеют твердое покрытие дорожного полотна. (П) Плотность  автомобильных дорог с твердым покрытием –  118,6 км/1000 км</w:t>
      </w:r>
      <w:r>
        <w:rPr>
          <w:vertAlign w:val="superscript"/>
        </w:rPr>
        <w:t>2</w:t>
      </w:r>
      <w:r>
        <w:rPr/>
        <w:t xml:space="preserve"> что ниже аналогичного показателя по Иркутской области. </w:t>
      </w:r>
    </w:p>
    <w:p>
      <w:pPr>
        <w:pStyle w:val="Normal"/>
        <w:rPr/>
      </w:pPr>
      <w:r>
        <w:rPr/>
      </w:r>
    </w:p>
    <w:p>
      <w:pPr>
        <w:pStyle w:val="Normal"/>
        <w:jc w:val="center"/>
        <w:rPr>
          <w:b/>
          <w:b/>
        </w:rPr>
      </w:pPr>
      <w:r>
        <w:rPr>
          <w:b/>
        </w:rPr>
        <w:t>Расчетные показатели минимально допустимого уровня обеспеченности пунктами технического осмотра автомобилей местного значения и максимально допустимого уровня их территориальной доступности  для населения  муниципального образования «Боханский район».</w:t>
      </w:r>
    </w:p>
    <w:p>
      <w:pPr>
        <w:pStyle w:val="Normal"/>
        <w:jc w:val="center"/>
        <w:rPr>
          <w:b/>
          <w:b/>
        </w:rPr>
      </w:pPr>
      <w:r>
        <w:rPr>
          <w:b/>
        </w:rPr>
      </w:r>
    </w:p>
    <w:p>
      <w:pPr>
        <w:pStyle w:val="Normal"/>
        <w:ind w:firstLine="567"/>
        <w:jc w:val="both"/>
        <w:rPr>
          <w:color w:val="000000"/>
        </w:rPr>
      </w:pPr>
      <w:r>
        <w:rPr>
          <w:color w:val="000000"/>
        </w:rPr>
        <w:t>Расчетные  показатели  минимально  допустимого  уровня обеспеченности  пунктами  технического  осмотра  автомобилей  установлены в соответствии с Постановлением Правительства Российской Федерации от 22 декабря 2011 г.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pPr>
        <w:pStyle w:val="Normal"/>
        <w:ind w:firstLine="567"/>
        <w:jc w:val="both"/>
        <w:rPr>
          <w:color w:val="000000"/>
        </w:rPr>
      </w:pPr>
      <w:r>
        <w:rPr>
          <w:color w:val="000000"/>
        </w:rPr>
      </w:r>
    </w:p>
    <w:p>
      <w:pPr>
        <w:pStyle w:val="Normal"/>
        <w:jc w:val="center"/>
        <w:rPr>
          <w:b/>
          <w:b/>
        </w:rPr>
      </w:pPr>
      <w:r>
        <w:rPr>
          <w:b/>
        </w:rPr>
        <w:t>Расчетные показатели минимально допустимого уровня обеспеченности парковками (парковочными местами) и максимально допустимого уровня их территориальной доступности  для населения  муниципального образования «Боханский район».</w:t>
      </w:r>
    </w:p>
    <w:p>
      <w:pPr>
        <w:pStyle w:val="Normal"/>
        <w:jc w:val="center"/>
        <w:rPr>
          <w:b/>
          <w:b/>
        </w:rPr>
      </w:pPr>
      <w:r>
        <w:rPr>
          <w:b/>
        </w:rPr>
      </w:r>
    </w:p>
    <w:p>
      <w:pPr>
        <w:pStyle w:val="Normal"/>
        <w:ind w:firstLine="567"/>
        <w:jc w:val="both"/>
        <w:rPr/>
      </w:pPr>
      <w:r>
        <w:rPr/>
        <w:t>Расчетные показатели минимально допустимого уровня обеспеченности парковками (парковочными местами) и максимально допустимого уровня их территориальной доступности  установлены в соответствии с СП 42.13330.2011 (Актуализированная редакция СНиП 2.07.01-89* «Градостроительство. Планировка и застройка городских и сельских поселений»).</w:t>
      </w:r>
    </w:p>
    <w:p>
      <w:pPr>
        <w:pStyle w:val="Normal"/>
        <w:jc w:val="center"/>
        <w:rPr>
          <w:b/>
          <w:b/>
        </w:rPr>
      </w:pPr>
      <w:r>
        <w:rPr>
          <w:b/>
        </w:rPr>
        <w:t>2.5.6 Объекты  воздушного транспорта</w:t>
      </w:r>
    </w:p>
    <w:p>
      <w:pPr>
        <w:pStyle w:val="Normal"/>
        <w:jc w:val="center"/>
        <w:rPr/>
      </w:pPr>
      <w:r>
        <w:rPr/>
      </w:r>
    </w:p>
    <w:p>
      <w:pPr>
        <w:pStyle w:val="Normal"/>
        <w:jc w:val="center"/>
        <w:rPr>
          <w:b/>
          <w:b/>
        </w:rPr>
      </w:pPr>
      <w:r>
        <w:rPr>
          <w:b/>
        </w:rPr>
        <w:t>Расчетные показатели минимально допустимого уровня обеспеченности вертолетными площадками и максимально допустимого уровня их территориальной доступности для населения  муниципального образования «Бохнский район».</w:t>
      </w:r>
    </w:p>
    <w:p>
      <w:pPr>
        <w:pStyle w:val="Normal"/>
        <w:jc w:val="right"/>
        <w:rPr/>
      </w:pPr>
      <w:r>
        <w:rPr/>
        <w:t>Таблица 14</w:t>
      </w:r>
    </w:p>
    <w:tbl>
      <w:tblPr>
        <w:tblW w:w="957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2542"/>
        <w:gridCol w:w="2333"/>
        <w:gridCol w:w="2325"/>
        <w:gridCol w:w="2369"/>
      </w:tblGrid>
      <w:tr>
        <w:trPr/>
        <w:tc>
          <w:tcPr>
            <w:tcW w:w="25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Наименование объектов</w:t>
            </w:r>
          </w:p>
        </w:tc>
        <w:tc>
          <w:tcPr>
            <w:tcW w:w="2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Единица измерения</w:t>
            </w:r>
          </w:p>
        </w:tc>
        <w:tc>
          <w:tcPr>
            <w:tcW w:w="23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величина</w:t>
            </w:r>
          </w:p>
        </w:tc>
        <w:tc>
          <w:tcPr>
            <w:tcW w:w="2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обоснование</w:t>
            </w:r>
          </w:p>
        </w:tc>
      </w:tr>
      <w:tr>
        <w:trPr/>
        <w:tc>
          <w:tcPr>
            <w:tcW w:w="25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Вертолетная площадка</w:t>
            </w:r>
          </w:p>
          <w:p>
            <w:pPr>
              <w:pStyle w:val="Normal"/>
              <w:jc w:val="center"/>
              <w:rPr/>
            </w:pPr>
            <w:r>
              <w:rPr/>
            </w:r>
          </w:p>
        </w:tc>
        <w:tc>
          <w:tcPr>
            <w:tcW w:w="2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объект</w:t>
            </w:r>
          </w:p>
        </w:tc>
        <w:tc>
          <w:tcPr>
            <w:tcW w:w="23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highlight w:val="yellow"/>
              </w:rPr>
            </w:pPr>
            <w:r>
              <w:rPr/>
              <w:t>1</w:t>
            </w:r>
          </w:p>
        </w:tc>
        <w:tc>
          <w:tcPr>
            <w:tcW w:w="2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sz w:val="20"/>
                <w:szCs w:val="20"/>
              </w:rPr>
              <w:t>Постановление Правительства РФ от 11.03.2010г. №138 (ред. от 19.07.2012г. с изм. 23.01.2014г.) «Об утверждении Федеральных правил использования воздушного транспорта»</w:t>
            </w:r>
          </w:p>
        </w:tc>
      </w:tr>
    </w:tbl>
    <w:p>
      <w:pPr>
        <w:pStyle w:val="Normal"/>
        <w:widowControl w:val="false"/>
        <w:tabs>
          <w:tab w:val="left" w:pos="3544" w:leader="none"/>
        </w:tabs>
        <w:spacing w:lineRule="exact" w:line="273"/>
        <w:ind w:firstLine="720"/>
        <w:jc w:val="both"/>
        <w:rPr>
          <w:color w:val="000000"/>
        </w:rPr>
      </w:pPr>
      <w:r>
        <w:rPr>
          <w:color w:val="000000"/>
        </w:rPr>
        <w:t>Аэродромы, аэропорты гражданской авиации и объекты единой  системы организации воздушного движения размещают в соответствии с Постановлением Правительства РФ от 11 марта 2010 г. №138 (ред. от 19.07.2012, с изм. от 23.01.2014) «Об утверждении Федеральных правил использования воздушного пространства».</w:t>
      </w:r>
    </w:p>
    <w:p>
      <w:pPr>
        <w:pStyle w:val="Normal"/>
        <w:ind w:firstLine="720"/>
        <w:jc w:val="both"/>
        <w:rPr/>
      </w:pPr>
      <w:r>
        <w:rPr/>
        <w:t>Вертолетные площадки следует размещать не ближе 2 км. от селитебной территории населенных пунктов в направлении взлета (посадки), необходимо предусматривать разрыв между боковой границей посадочной площадки и границей селитебной территории не менее 300 м.</w:t>
      </w:r>
    </w:p>
    <w:p>
      <w:pPr>
        <w:pStyle w:val="Normal"/>
        <w:ind w:firstLine="720"/>
        <w:jc w:val="both"/>
        <w:rPr/>
      </w:pPr>
      <w:r>
        <w:rPr/>
        <w:t>Максимально допустимый уровень территориальной доступности вертолетных площадок не нормируется.</w:t>
      </w:r>
    </w:p>
    <w:p>
      <w:pPr>
        <w:pStyle w:val="Normal"/>
        <w:ind w:firstLine="720"/>
        <w:jc w:val="both"/>
        <w:rPr/>
      </w:pPr>
      <w:r>
        <w:rPr/>
        <w:t>Для каждого аэродрома устанавливается приаэродромная территория. Границы приаэродромной территории определяются по внешне</w:t>
        <w:tab/>
        <w:t xml:space="preserve">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Приаэродромная территория является зоной с особыми условиями использования территории. </w:t>
      </w:r>
    </w:p>
    <w:p>
      <w:pPr>
        <w:pStyle w:val="Normal"/>
        <w:tabs>
          <w:tab w:val="left" w:pos="3544" w:leader="none"/>
        </w:tabs>
        <w:ind w:firstLine="709"/>
        <w:jc w:val="center"/>
        <w:rPr/>
      </w:pPr>
      <w:r>
        <w:rPr/>
      </w:r>
    </w:p>
    <w:p>
      <w:pPr>
        <w:pStyle w:val="Normal"/>
        <w:tabs>
          <w:tab w:val="left" w:pos="3544" w:leader="none"/>
        </w:tabs>
        <w:jc w:val="center"/>
        <w:rPr/>
      </w:pPr>
      <w:r>
        <w:rPr/>
      </w:r>
    </w:p>
    <w:p>
      <w:pPr>
        <w:pStyle w:val="Normal"/>
        <w:ind w:firstLine="720"/>
        <w:jc w:val="center"/>
        <w:rPr>
          <w:b/>
          <w:b/>
        </w:rPr>
      </w:pPr>
      <w:r>
        <w:rPr>
          <w:b/>
        </w:rPr>
        <w:t>2.5.7 Объекты водного транспорта</w:t>
      </w:r>
    </w:p>
    <w:p>
      <w:pPr>
        <w:pStyle w:val="Normal"/>
        <w:ind w:firstLine="720"/>
        <w:jc w:val="center"/>
        <w:rPr>
          <w:b/>
          <w:b/>
        </w:rPr>
      </w:pPr>
      <w:r>
        <w:rPr>
          <w:b/>
        </w:rPr>
      </w:r>
    </w:p>
    <w:p>
      <w:pPr>
        <w:pStyle w:val="Normal"/>
        <w:jc w:val="center"/>
        <w:rPr>
          <w:b/>
          <w:b/>
        </w:rPr>
      </w:pPr>
      <w:r>
        <w:rPr>
          <w:b/>
        </w:rPr>
        <w:t>Расчетные показатели минимально допустимого уровня обеспеченности объектами водного транспорта и максимально допустимого уровня их территориальной доступности для населения муниципального образования «Боханский район».</w:t>
      </w:r>
    </w:p>
    <w:p>
      <w:pPr>
        <w:pStyle w:val="Normal"/>
        <w:widowControl w:val="false"/>
        <w:tabs>
          <w:tab w:val="left" w:pos="3544" w:leader="none"/>
        </w:tabs>
        <w:spacing w:lineRule="exact" w:line="280" w:before="55" w:after="0"/>
        <w:ind w:firstLine="720"/>
        <w:jc w:val="both"/>
        <w:rPr>
          <w:color w:val="000000"/>
        </w:rPr>
      </w:pPr>
      <w:r>
        <w:rPr>
          <w:color w:val="000000"/>
        </w:rPr>
        <w:t>Расчетные показатели минимального допустимого уровня обеспеченности объектами водного транспорта и их территориальной доступности не нормируется.</w:t>
      </w:r>
    </w:p>
    <w:p>
      <w:pPr>
        <w:pStyle w:val="Normal"/>
        <w:widowControl w:val="false"/>
        <w:tabs>
          <w:tab w:val="left" w:pos="3544" w:leader="none"/>
        </w:tabs>
        <w:spacing w:lineRule="exact" w:line="273"/>
        <w:ind w:firstLine="720"/>
        <w:jc w:val="both"/>
        <w:rPr>
          <w:color w:val="000000"/>
        </w:rPr>
      </w:pPr>
      <w:r>
        <w:rPr>
          <w:color w:val="000000"/>
        </w:rPr>
        <w:t>Объекты водного транспорта необходимо размещать в соответствии с Руководством по проектированию речных портов и СП 42.13330.2011 (Актуализированная редакция СНиП 2.07.01-89*  «Градостроительство.  Планировка  и  застройка  городских  и  сельских поселений»).</w:t>
      </w:r>
    </w:p>
    <w:p>
      <w:pPr>
        <w:pStyle w:val="Normal"/>
        <w:widowControl w:val="false"/>
        <w:tabs>
          <w:tab w:val="left" w:pos="2246" w:leader="none"/>
        </w:tabs>
        <w:spacing w:lineRule="exact" w:line="285" w:before="195" w:after="0"/>
        <w:ind w:right="-30" w:firstLine="720"/>
        <w:jc w:val="both"/>
        <w:rPr>
          <w:b/>
          <w:b/>
        </w:rPr>
      </w:pPr>
      <w:r>
        <w:rPr>
          <w:b/>
        </w:rPr>
      </w:r>
    </w:p>
    <w:p>
      <w:pPr>
        <w:pStyle w:val="Normal"/>
        <w:widowControl w:val="false"/>
        <w:tabs>
          <w:tab w:val="left" w:pos="2246" w:leader="none"/>
        </w:tabs>
        <w:spacing w:lineRule="exact" w:line="285" w:before="195" w:after="0"/>
        <w:ind w:right="-30" w:firstLine="720"/>
        <w:jc w:val="both"/>
        <w:rPr>
          <w:b/>
          <w:b/>
          <w:color w:val="000000"/>
        </w:rPr>
      </w:pPr>
      <w:r>
        <w:rPr>
          <w:b/>
        </w:rPr>
        <w:t xml:space="preserve">2.5.8. </w:t>
      </w:r>
      <w:r>
        <w:rPr>
          <w:b/>
          <w:color w:val="000000"/>
        </w:rPr>
        <w:t>Объекты гражданской обороны, необходимые для предупреждения чрезвычайных ситуаций различного характера, стихийных бедствий, эпидемий и ликвидации их последствий.</w:t>
      </w:r>
    </w:p>
    <w:p>
      <w:pPr>
        <w:pStyle w:val="Normal"/>
        <w:widowControl w:val="false"/>
        <w:tabs>
          <w:tab w:val="left" w:pos="2246" w:leader="none"/>
        </w:tabs>
        <w:spacing w:lineRule="exact" w:line="285" w:before="195" w:after="0"/>
        <w:ind w:right="-30" w:firstLine="720"/>
        <w:jc w:val="both"/>
        <w:rPr>
          <w:color w:val="000000"/>
        </w:rPr>
      </w:pPr>
      <w:r>
        <w:rPr>
          <w:color w:val="000000"/>
        </w:rPr>
        <w:t>Перечень объектов гражданской обороны, необходимых для предупреждения чрезвычайных ситуаций различного характера регламентируются Постановлением Правительства Российской Федерации № 1309 от 29.11.1999 г. и СНиП 2.01.51-90.</w:t>
      </w:r>
    </w:p>
    <w:p>
      <w:pPr>
        <w:pStyle w:val="Normal"/>
        <w:widowControl w:val="false"/>
        <w:tabs>
          <w:tab w:val="left" w:pos="2246" w:leader="none"/>
        </w:tabs>
        <w:spacing w:lineRule="exact" w:line="285" w:before="195" w:after="0"/>
        <w:ind w:right="-30" w:hanging="0"/>
        <w:jc w:val="center"/>
        <w:rPr>
          <w:b/>
          <w:b/>
          <w:color w:val="000000"/>
        </w:rPr>
      </w:pPr>
      <w:r>
        <w:rPr>
          <w:b/>
          <w:color w:val="000000"/>
        </w:rPr>
        <w:t>Расчетные показатели минимально допустимого уровня обеспеченности объектами гражданской обороны, необходимых для предупреждения чрезвычайных ситуаций различного характера</w:t>
      </w:r>
    </w:p>
    <w:p>
      <w:pPr>
        <w:pStyle w:val="Normal"/>
        <w:widowControl w:val="false"/>
        <w:tabs>
          <w:tab w:val="left" w:pos="2246" w:leader="none"/>
        </w:tabs>
        <w:spacing w:lineRule="exact" w:line="285" w:before="195" w:after="0"/>
        <w:ind w:right="-30" w:hanging="0"/>
        <w:jc w:val="right"/>
        <w:rPr>
          <w:color w:val="000000"/>
        </w:rPr>
      </w:pPr>
      <w:r>
        <w:rPr>
          <w:color w:val="000000"/>
        </w:rPr>
        <w:t>Таблица 12</w:t>
      </w:r>
    </w:p>
    <w:tbl>
      <w:tblPr>
        <w:tblW w:w="10490" w:type="dxa"/>
        <w:jc w:val="left"/>
        <w:tblInd w:w="-60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424"/>
        <w:gridCol w:w="3687"/>
        <w:gridCol w:w="1559"/>
        <w:gridCol w:w="1559"/>
        <w:gridCol w:w="3261"/>
      </w:tblGrid>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108" w:hanging="0"/>
              <w:jc w:val="center"/>
              <w:rPr>
                <w:color w:val="000000"/>
              </w:rPr>
            </w:pPr>
            <w:r>
              <w:rPr>
                <w:color w:val="000000"/>
              </w:rPr>
              <w:t>№</w:t>
            </w:r>
            <w:r>
              <w:rPr>
                <w:color w:val="000000"/>
              </w:rPr>
              <w:t>п/п</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Наименование объекта</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Единица измерения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Величина</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обоснование</w:t>
            </w:r>
          </w:p>
        </w:tc>
      </w:tr>
      <w:tr>
        <w:trPr>
          <w:trHeight w:val="321" w:hRule="atLeast"/>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Защитные сооружения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Вместимость (чел.)</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150</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lang w:val="en-US"/>
              </w:rPr>
            </w:pPr>
            <w:r>
              <w:rPr>
                <w:color w:val="000000"/>
              </w:rPr>
              <w:t xml:space="preserve">СНиП </w:t>
            </w:r>
            <w:r>
              <w:rPr>
                <w:color w:val="000000"/>
                <w:lang w:val="en-US"/>
              </w:rPr>
              <w:t>II-11-77*</w:t>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2</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Противорадиационные укрытия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Вместимость (чел.)</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5</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 xml:space="preserve">СНиП </w:t>
            </w:r>
            <w:r>
              <w:rPr>
                <w:color w:val="000000"/>
                <w:lang w:val="en-US"/>
              </w:rPr>
              <w:t>II-11-77*</w:t>
            </w:r>
          </w:p>
        </w:tc>
      </w:tr>
      <w:tr>
        <w:trPr>
          <w:trHeight w:val="1041" w:hRule="atLeast"/>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3</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left="-108" w:right="-30" w:firstLine="108"/>
              <w:jc w:val="center"/>
              <w:rPr>
                <w:color w:val="000000"/>
              </w:rPr>
            </w:pPr>
            <w:r>
              <w:rPr>
                <w:color w:val="000000"/>
              </w:rPr>
              <w:t>Санитарно-обмывочные пункты и станции обеззараживания одежды и транспорта</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1(на каждый въезд и выезд населенного пункта)</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4</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Пункты временного размещения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5</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Сборные эвакуационные пункты</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6</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Сирены</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 (радиус действия 500м)</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7</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Объекты противопожарного водоснабжения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 на 250 м</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СП 8.13130.2009</w:t>
            </w:r>
          </w:p>
        </w:tc>
      </w:tr>
      <w:tr>
        <w:trPr>
          <w:trHeight w:val="529" w:hRule="atLeast"/>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lang w:val="en-US"/>
              </w:rPr>
            </w:pPr>
            <w:r>
              <w:rPr>
                <w:color w:val="000000"/>
                <w:lang w:val="en-US"/>
              </w:rPr>
              <w:t>8</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Спасательные подразделения на водных объектах</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 на каждый санкционированный водный объект, предназначенный для отдыха и иного пользования населением</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lang w:val="en-US"/>
              </w:rPr>
            </w:pPr>
            <w:r>
              <w:rPr>
                <w:color w:val="000000"/>
                <w:lang w:val="en-US"/>
              </w:rPr>
              <w:t>9</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Объекты органов внутренних дел</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НПБ 12-95</w:t>
            </w:r>
          </w:p>
        </w:tc>
      </w:tr>
    </w:tbl>
    <w:p>
      <w:pPr>
        <w:pStyle w:val="Normal"/>
        <w:widowControl w:val="false"/>
        <w:tabs>
          <w:tab w:val="left" w:pos="2246" w:leader="none"/>
        </w:tabs>
        <w:spacing w:lineRule="exact" w:line="285" w:before="195" w:after="0"/>
        <w:ind w:right="-30" w:hanging="0"/>
        <w:jc w:val="center"/>
        <w:rPr>
          <w:b/>
          <w:b/>
          <w:color w:val="000000"/>
        </w:rPr>
      </w:pPr>
      <w:r>
        <w:rPr>
          <w:b/>
          <w:color w:val="000000"/>
        </w:rPr>
        <w:t>Расчетные показатели максимально допустимого уровня территориальной доступности объектов гражданской обороны, необходимых для предупреждения чрезвычайных ситуаций различного характера</w:t>
      </w:r>
    </w:p>
    <w:p>
      <w:pPr>
        <w:pStyle w:val="Normal"/>
        <w:widowControl w:val="false"/>
        <w:tabs>
          <w:tab w:val="left" w:pos="2246" w:leader="none"/>
        </w:tabs>
        <w:spacing w:lineRule="exact" w:line="285" w:before="195" w:after="0"/>
        <w:ind w:right="-30" w:hanging="0"/>
        <w:jc w:val="right"/>
        <w:rPr>
          <w:b/>
          <w:b/>
          <w:color w:val="000000"/>
        </w:rPr>
      </w:pPr>
      <w:r>
        <w:rPr>
          <w:b/>
          <w:color w:val="000000"/>
        </w:rPr>
        <w:t xml:space="preserve">                                                                                                                                        </w:t>
      </w:r>
      <w:r>
        <w:rPr>
          <w:color w:val="000000"/>
        </w:rPr>
        <w:t>Таблица 13</w:t>
      </w:r>
    </w:p>
    <w:tbl>
      <w:tblPr>
        <w:tblW w:w="10490" w:type="dxa"/>
        <w:jc w:val="left"/>
        <w:tblInd w:w="-60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424"/>
        <w:gridCol w:w="3687"/>
        <w:gridCol w:w="1559"/>
        <w:gridCol w:w="1559"/>
        <w:gridCol w:w="3261"/>
      </w:tblGrid>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 xml:space="preserve">№ </w:t>
            </w:r>
            <w:r>
              <w:rPr>
                <w:color w:val="000000"/>
              </w:rPr>
              <w:t>п/п</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Наименование объекта</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Единица измерения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Величина</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Обоснование</w:t>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1</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Защитные сооружения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Доступность (мин.)</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30</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color w:val="000000"/>
              </w:rPr>
              <w:t xml:space="preserve">СНиП </w:t>
            </w:r>
            <w:r>
              <w:rPr>
                <w:color w:val="000000"/>
                <w:lang w:val="en-US"/>
              </w:rPr>
              <w:t>II-11-77*</w:t>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2</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Противорадиационные</w:t>
            </w:r>
          </w:p>
          <w:p>
            <w:pPr>
              <w:pStyle w:val="Normal"/>
              <w:widowControl w:val="false"/>
              <w:tabs>
                <w:tab w:val="left" w:pos="2246" w:leader="none"/>
              </w:tabs>
              <w:spacing w:lineRule="exact" w:line="285" w:before="195" w:after="0"/>
              <w:ind w:right="-30" w:hanging="0"/>
              <w:jc w:val="center"/>
              <w:rPr>
                <w:color w:val="000000"/>
              </w:rPr>
            </w:pPr>
            <w:r>
              <w:rPr>
                <w:color w:val="000000"/>
              </w:rPr>
              <w:t>укрытия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Доступность (мин.)</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30</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color w:val="000000"/>
              </w:rPr>
              <w:t xml:space="preserve">СНиП </w:t>
            </w:r>
            <w:r>
              <w:rPr>
                <w:color w:val="000000"/>
                <w:lang w:val="en-US"/>
              </w:rPr>
              <w:t>II-11-77*</w:t>
            </w:r>
          </w:p>
        </w:tc>
      </w:tr>
      <w:tr>
        <w:trPr>
          <w:trHeight w:val="1411" w:hRule="atLeast"/>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3</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Санитарно-обмывочные пункты и станции обеззараживания одежды и транспорта</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Количество (ед.)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На всех въездах и выездах населенного пункта</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4</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Пункты временного размещения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color w:val="000000"/>
              </w:rPr>
              <w:t>Доступность (мин.)</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30</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5</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Сборные эвакуационные пункты</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color w:val="000000"/>
              </w:rPr>
              <w:t>Радиус доступности (м)</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500</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6</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Сирены</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Радиус действия (м)</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500</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7</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Объекты противопожарного водоснабжения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Радиус доступности (м)</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 xml:space="preserve"> </w:t>
            </w:r>
            <w:r>
              <w:rPr>
                <w:color w:val="000000"/>
              </w:rPr>
              <w:t xml:space="preserve">250 </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СП 8.13130.2009</w:t>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8</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Спасательные подразделения на водных объектах</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 (ед.)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Не регламентируется</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9</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Объекты органов внутренних дел</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 (ед.)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Не регламентируются</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НПБ 12-95</w:t>
            </w:r>
          </w:p>
        </w:tc>
      </w:tr>
    </w:tbl>
    <w:p>
      <w:pPr>
        <w:pStyle w:val="Normal"/>
        <w:tabs>
          <w:tab w:val="left" w:pos="3544" w:leader="none"/>
        </w:tabs>
        <w:ind w:firstLine="720"/>
        <w:jc w:val="center"/>
        <w:rPr>
          <w:b/>
          <w:b/>
        </w:rPr>
      </w:pPr>
      <w:r>
        <w:rPr>
          <w:b/>
        </w:rPr>
      </w:r>
    </w:p>
    <w:p>
      <w:pPr>
        <w:pStyle w:val="Normal"/>
        <w:tabs>
          <w:tab w:val="left" w:pos="3544" w:leader="none"/>
        </w:tabs>
        <w:ind w:firstLine="720"/>
        <w:jc w:val="center"/>
        <w:rPr>
          <w:b/>
          <w:b/>
        </w:rPr>
      </w:pPr>
      <w:r>
        <w:rPr>
          <w:b/>
        </w:rPr>
      </w:r>
    </w:p>
    <w:p>
      <w:pPr>
        <w:pStyle w:val="Normal"/>
        <w:tabs>
          <w:tab w:val="left" w:pos="3544" w:leader="none"/>
        </w:tabs>
        <w:ind w:firstLine="720"/>
        <w:jc w:val="center"/>
        <w:rPr>
          <w:b/>
          <w:b/>
        </w:rPr>
      </w:pPr>
      <w:r>
        <w:rPr>
          <w:b/>
        </w:rPr>
      </w:r>
    </w:p>
    <w:p>
      <w:pPr>
        <w:pStyle w:val="Normal"/>
        <w:widowControl w:val="false"/>
        <w:tabs>
          <w:tab w:val="left" w:pos="2246" w:leader="none"/>
        </w:tabs>
        <w:spacing w:lineRule="exact" w:line="285" w:before="195" w:after="0"/>
        <w:ind w:right="-30" w:hanging="0"/>
        <w:jc w:val="center"/>
        <w:rPr>
          <w:b/>
          <w:b/>
        </w:rPr>
      </w:pPr>
      <w:r>
        <w:rPr>
          <w:b/>
        </w:rPr>
        <w:t>2.5.9. Объекты электроснабжения.</w:t>
      </w:r>
    </w:p>
    <w:p>
      <w:pPr>
        <w:pStyle w:val="Normal"/>
        <w:widowControl w:val="false"/>
        <w:ind w:right="325" w:firstLine="720"/>
        <w:jc w:val="both"/>
        <w:rPr/>
      </w:pPr>
      <w:r>
        <w:rPr/>
        <w:t>Общие положения разработаны на основании:</w:t>
      </w:r>
    </w:p>
    <w:p>
      <w:pPr>
        <w:pStyle w:val="Normal"/>
        <w:widowControl w:val="false"/>
        <w:ind w:right="325" w:firstLine="720"/>
        <w:jc w:val="both"/>
        <w:rPr>
          <w:color w:val="000000"/>
        </w:rPr>
      </w:pPr>
      <w:r>
        <w:rPr>
          <w:color w:val="000000"/>
        </w:rPr>
        <w:t xml:space="preserve">1. СП 42-13330-2011 Градостроительство. Планировка и застройка городских и сельских поселений. </w:t>
      </w:r>
    </w:p>
    <w:p>
      <w:pPr>
        <w:pStyle w:val="Normal"/>
        <w:widowControl w:val="false"/>
        <w:ind w:right="325" w:firstLine="720"/>
        <w:jc w:val="both"/>
        <w:rPr>
          <w:color w:val="000000"/>
        </w:rPr>
      </w:pPr>
      <w:r>
        <w:rPr>
          <w:color w:val="000000"/>
        </w:rPr>
        <w:t>2. СП 31-110-2003 Проектирование и монтаж электроустановок жилых и общественных зданий.</w:t>
      </w:r>
    </w:p>
    <w:p>
      <w:pPr>
        <w:pStyle w:val="Normal"/>
        <w:widowControl w:val="false"/>
        <w:ind w:right="325" w:firstLine="720"/>
        <w:jc w:val="both"/>
        <w:rPr>
          <w:color w:val="000000"/>
        </w:rPr>
      </w:pPr>
      <w:r>
        <w:rPr>
          <w:color w:val="000000"/>
        </w:rPr>
        <w:t>3. НТП ЭПП-94 «Проектирование электроснабжения промышленных предприятий. Нормы технологического проектирования».</w:t>
      </w:r>
    </w:p>
    <w:p>
      <w:pPr>
        <w:pStyle w:val="Normal"/>
        <w:widowControl w:val="false"/>
        <w:ind w:right="325" w:firstLine="720"/>
        <w:jc w:val="both"/>
        <w:rPr>
          <w:color w:val="000000"/>
        </w:rPr>
      </w:pPr>
      <w:r>
        <w:rPr>
          <w:color w:val="000000"/>
        </w:rPr>
        <w:t>4. РД 34.03.601 (СО 153-34.03.601)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pPr>
        <w:pStyle w:val="Normal"/>
        <w:widowControl w:val="false"/>
        <w:ind w:right="325" w:firstLine="720"/>
        <w:jc w:val="both"/>
        <w:rPr>
          <w:color w:val="000000"/>
        </w:rPr>
      </w:pPr>
      <w:r>
        <w:rPr>
          <w:color w:val="000000"/>
        </w:rPr>
        <w:t>5. Правила устройства электроустановок (ПУЭ 6-е и 7-е издание).</w:t>
      </w:r>
    </w:p>
    <w:p>
      <w:pPr>
        <w:pStyle w:val="Normal"/>
        <w:widowControl w:val="false"/>
        <w:ind w:right="325" w:firstLine="720"/>
        <w:jc w:val="both"/>
        <w:rPr>
          <w:color w:val="000000"/>
        </w:rPr>
      </w:pPr>
      <w:r>
        <w:rPr>
          <w:color w:val="000000"/>
        </w:rPr>
        <w:t>6. Постановление Правительства Российской Федерации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Normal"/>
        <w:widowControl w:val="false"/>
        <w:tabs>
          <w:tab w:val="left" w:pos="9356" w:leader="none"/>
        </w:tabs>
        <w:ind w:firstLine="720"/>
        <w:rPr>
          <w:color w:val="000000"/>
        </w:rPr>
      </w:pPr>
      <w:r>
        <w:rPr>
          <w:color w:val="000000"/>
        </w:rPr>
        <w:t>7. Положение  ОАО  «Россети»  о  единой  технической  политике  в</w:t>
      </w:r>
      <w:r>
        <w:rPr>
          <w:color w:val="000000"/>
          <w:sz w:val="18"/>
        </w:rPr>
        <w:t xml:space="preserve"> </w:t>
      </w:r>
      <w:r>
        <w:rPr>
          <w:color w:val="000000"/>
        </w:rPr>
        <w:t xml:space="preserve">электросетевом комплексе, утвержденным  Советом директоров ОАО  «Россети» (ПРОТОКОЛ ОТ 23.10.2013 №138), введено в действие Советом директоров ОАО  «ФСК ЕЭС» (протокол от 27.12.2013 №208). </w:t>
      </w:r>
    </w:p>
    <w:p>
      <w:pPr>
        <w:pStyle w:val="Normal"/>
        <w:widowControl w:val="false"/>
        <w:tabs>
          <w:tab w:val="left" w:pos="9356" w:leader="none"/>
        </w:tabs>
        <w:ind w:firstLine="720"/>
        <w:rPr>
          <w:color w:val="000000"/>
        </w:rPr>
      </w:pPr>
      <w:r>
        <w:rPr>
          <w:color w:val="000000"/>
        </w:rPr>
      </w:r>
    </w:p>
    <w:p>
      <w:pPr>
        <w:pStyle w:val="Normal"/>
        <w:widowControl w:val="false"/>
        <w:tabs>
          <w:tab w:val="left" w:pos="-180" w:leader="none"/>
          <w:tab w:val="left" w:pos="8820" w:leader="none"/>
        </w:tabs>
        <w:ind w:right="354" w:firstLine="720"/>
        <w:jc w:val="both"/>
        <w:rPr>
          <w:color w:val="000000"/>
        </w:rPr>
      </w:pPr>
      <w:r>
        <w:rPr>
          <w:color w:val="000000"/>
        </w:rPr>
        <w:t xml:space="preserve">Схему  электроснабжения    сельских  поселений  следует  выбирать  в зависимости  от  конкретных  условий:  географического  положения  и  конфигурации селитебной  территории  города,  плотности  электрических  нагрузок  и  темпов  их  роста, количества и характеристик источников питания, исторически сложившейся существующей схемы  сети  и  других  факторов.  Выбор  следует  производить  по  результатам  технико- экономического  сопоставления  вариантов.  </w:t>
      </w:r>
    </w:p>
    <w:p>
      <w:pPr>
        <w:pStyle w:val="Normal"/>
        <w:widowControl w:val="false"/>
        <w:tabs>
          <w:tab w:val="left" w:pos="-180" w:leader="none"/>
          <w:tab w:val="left" w:pos="8820" w:leader="none"/>
        </w:tabs>
        <w:ind w:right="354" w:firstLine="720"/>
        <w:jc w:val="both"/>
        <w:rPr>
          <w:color w:val="000000"/>
        </w:rPr>
      </w:pPr>
      <w:r>
        <w:rPr>
          <w:color w:val="000000"/>
        </w:rPr>
        <w:t xml:space="preserve">При  разработке  системы  электроснабжения  мощности  источников  и  расход электроэнергии следует определять: </w:t>
      </w:r>
    </w:p>
    <w:p>
      <w:pPr>
        <w:pStyle w:val="Normal"/>
        <w:widowControl w:val="false"/>
        <w:tabs>
          <w:tab w:val="left" w:pos="8820" w:leader="none"/>
        </w:tabs>
        <w:ind w:right="354" w:firstLine="720"/>
        <w:jc w:val="both"/>
        <w:rPr>
          <w:color w:val="000000"/>
        </w:rPr>
      </w:pPr>
      <w:r>
        <w:rPr>
          <w:color w:val="000000"/>
        </w:rPr>
        <w:t xml:space="preserve">- 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 </w:t>
      </w:r>
    </w:p>
    <w:p>
      <w:pPr>
        <w:pStyle w:val="Normal"/>
        <w:widowControl w:val="false"/>
        <w:tabs>
          <w:tab w:val="left" w:pos="8820" w:leader="none"/>
        </w:tabs>
        <w:ind w:right="354" w:firstLine="720"/>
        <w:jc w:val="both"/>
        <w:rPr>
          <w:color w:val="000000"/>
        </w:rPr>
      </w:pPr>
      <w:r>
        <w:rPr>
          <w:color w:val="000000"/>
        </w:rPr>
        <w:t xml:space="preserve"> </w:t>
      </w:r>
      <w:r>
        <w:rPr>
          <w:color w:val="000000"/>
        </w:rPr>
        <w:t xml:space="preserve">- для хозяйственно-бытовых и коммунальных нужд – в соответствии с техническими регламентами,  а  до  их  принятия  –  в  соответствии  с  РД  34.20.185-94 (СО 153-34.20.185-94) </w:t>
      </w:r>
    </w:p>
    <w:p>
      <w:pPr>
        <w:pStyle w:val="Normal"/>
        <w:widowControl w:val="false"/>
        <w:tabs>
          <w:tab w:val="left" w:pos="8820" w:leader="none"/>
        </w:tabs>
        <w:ind w:right="354" w:firstLine="720"/>
        <w:jc w:val="both"/>
        <w:rPr>
          <w:color w:val="000000"/>
        </w:rPr>
      </w:pPr>
      <w:r>
        <w:rPr>
          <w:color w:val="000000"/>
        </w:rPr>
        <w:t xml:space="preserve">На  территории  населенного  пункта  трансформаторные  подстанции  и распределительные устройства проектируются открытого и закрытого типа в соответствии с градостроительными требованиями ПУЭ. </w:t>
      </w:r>
    </w:p>
    <w:p>
      <w:pPr>
        <w:pStyle w:val="Normal"/>
        <w:widowControl w:val="false"/>
        <w:tabs>
          <w:tab w:val="left" w:pos="8820" w:leader="none"/>
        </w:tabs>
        <w:ind w:right="354" w:firstLine="720"/>
        <w:jc w:val="both"/>
        <w:rPr>
          <w:color w:val="000000"/>
        </w:rPr>
      </w:pPr>
      <w:r>
        <w:rPr>
          <w:color w:val="000000"/>
        </w:rPr>
        <w:t xml:space="preserve">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 </w:t>
      </w:r>
    </w:p>
    <w:p>
      <w:pPr>
        <w:pStyle w:val="Normal"/>
        <w:widowControl w:val="false"/>
        <w:tabs>
          <w:tab w:val="left" w:pos="8820" w:leader="none"/>
        </w:tabs>
        <w:ind w:right="354" w:firstLine="720"/>
        <w:jc w:val="both"/>
        <w:rPr>
          <w:color w:val="000000"/>
        </w:rPr>
      </w:pPr>
      <w:r>
        <w:rPr>
          <w:color w:val="000000"/>
        </w:rPr>
        <w:t>На  территории  населенного  пункта  трансформаторные  подстанции  (ПС)  и распределительные  устройства  (РУ)  проектируются  открытого  и  закрытого  типа  в соответствии  с  «Положением  ОАО  «Россети»  о  единой  технической  политике  в</w:t>
      </w:r>
      <w:r>
        <w:rPr>
          <w:color w:val="000000"/>
          <w:sz w:val="18"/>
        </w:rPr>
        <w:tab/>
        <w:t xml:space="preserve">  </w:t>
      </w:r>
      <w:r>
        <w:rPr>
          <w:color w:val="000000"/>
        </w:rPr>
        <w:t>электросетевом комплексе».</w:t>
      </w:r>
    </w:p>
    <w:p>
      <w:pPr>
        <w:pStyle w:val="Normal"/>
        <w:widowControl w:val="false"/>
        <w:tabs>
          <w:tab w:val="left" w:pos="8820" w:leader="none"/>
        </w:tabs>
        <w:ind w:right="354" w:firstLine="720"/>
        <w:jc w:val="both"/>
        <w:rPr>
          <w:color w:val="000000"/>
        </w:rPr>
      </w:pPr>
      <w:r>
        <w:rPr>
          <w:color w:val="000000"/>
        </w:rPr>
        <w:t xml:space="preserve">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w:t>
      </w:r>
    </w:p>
    <w:p>
      <w:pPr>
        <w:pStyle w:val="Normal"/>
        <w:widowControl w:val="false"/>
        <w:ind w:right="325" w:firstLine="720"/>
        <w:jc w:val="both"/>
        <w:rPr>
          <w:color w:val="000000"/>
        </w:rPr>
      </w:pPr>
      <w:r>
        <w:rPr>
          <w:color w:val="000000"/>
        </w:rPr>
        <w:t xml:space="preserve">Напряжение  системы  электроснабжения  должно  выбираться  с  учетом  наименьшего количества  ступеней  трансформации  энергии.  На  ближайший  период  развития  наиболее целесообразной является система напряжений 35-110/10 кВ. </w:t>
      </w:r>
    </w:p>
    <w:p>
      <w:pPr>
        <w:pStyle w:val="Normal"/>
        <w:widowControl w:val="false"/>
        <w:ind w:right="333" w:firstLine="720"/>
        <w:jc w:val="both"/>
        <w:rPr>
          <w:color w:val="000000"/>
        </w:rPr>
      </w:pPr>
      <w:r>
        <w:rPr>
          <w:color w:val="000000"/>
        </w:rPr>
        <w:t xml:space="preserve">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 </w:t>
      </w:r>
    </w:p>
    <w:p>
      <w:pPr>
        <w:pStyle w:val="Normal"/>
        <w:widowControl w:val="false"/>
        <w:ind w:right="325" w:firstLine="720"/>
        <w:jc w:val="both"/>
        <w:rPr>
          <w:color w:val="000000"/>
        </w:rPr>
      </w:pPr>
      <w:r>
        <w:rPr>
          <w:color w:val="000000"/>
        </w:rPr>
        <w:t xml:space="preserve">Понизительные подстанции с трансформаторами мощностью 16 тыс. кВА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 </w:t>
      </w:r>
    </w:p>
    <w:p>
      <w:pPr>
        <w:pStyle w:val="Normal"/>
        <w:widowControl w:val="false"/>
        <w:ind w:right="325" w:firstLine="720"/>
        <w:jc w:val="both"/>
        <w:rPr>
          <w:color w:val="000000"/>
        </w:rPr>
      </w:pPr>
      <w:r>
        <w:rPr>
          <w:color w:val="000000"/>
        </w:rPr>
        <w:t xml:space="preserve">В общественных зданиях разрешается проектирование встроенных и пристроенных трансформаторных подстанций, в том числе комплектных трансформаторных подстанций, при  условии  соблюдения  требований  ПУЭ,  соответствующих  санитарных  и противопожарных норм, требований СП 31-110-2003. </w:t>
      </w:r>
    </w:p>
    <w:p>
      <w:pPr>
        <w:pStyle w:val="Normal"/>
        <w:widowControl w:val="false"/>
        <w:tabs>
          <w:tab w:val="left" w:pos="1094" w:leader="none"/>
        </w:tabs>
        <w:ind w:right="325" w:firstLine="720"/>
        <w:jc w:val="both"/>
        <w:rPr>
          <w:color w:val="000000"/>
        </w:rPr>
      </w:pPr>
      <w:r>
        <w:rPr>
          <w:color w:val="000000"/>
        </w:rPr>
        <w:t xml:space="preserve">Для прохождения линий электропередачи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  </w:t>
      </w:r>
    </w:p>
    <w:p>
      <w:pPr>
        <w:pStyle w:val="Normal"/>
        <w:widowControl w:val="false"/>
        <w:ind w:right="325" w:firstLine="720"/>
        <w:jc w:val="both"/>
        <w:rPr>
          <w:color w:val="000000"/>
        </w:rPr>
      </w:pPr>
      <w:r>
        <w:rPr>
          <w:color w:val="000000"/>
        </w:rPr>
        <w:t xml:space="preserve">Проектирование систем электроснабжения промышленных предприятий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 </w:t>
      </w:r>
    </w:p>
    <w:p>
      <w:pPr>
        <w:pStyle w:val="Normal"/>
        <w:widowControl w:val="false"/>
        <w:ind w:right="325" w:firstLine="720"/>
        <w:jc w:val="both"/>
        <w:rPr>
          <w:color w:val="000000"/>
        </w:rPr>
      </w:pPr>
      <w:r>
        <w:rPr>
          <w:color w:val="000000"/>
        </w:rPr>
        <w:t xml:space="preserve">Воздушные линии электропередачи напряжением 110 кВ и выше рекомендуется размещать только за пределами жилых и общественно-деловых зон.  </w:t>
      </w:r>
    </w:p>
    <w:p>
      <w:pPr>
        <w:pStyle w:val="Normal"/>
        <w:widowControl w:val="false"/>
        <w:ind w:right="325" w:firstLine="720"/>
        <w:jc w:val="both"/>
        <w:rPr>
          <w:color w:val="000000"/>
        </w:rPr>
      </w:pPr>
      <w:r>
        <w:rPr>
          <w:color w:val="000000"/>
        </w:rPr>
        <w:t xml:space="preserve">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   </w:t>
      </w:r>
    </w:p>
    <w:p>
      <w:pPr>
        <w:pStyle w:val="Normal"/>
        <w:widowControl w:val="false"/>
        <w:tabs>
          <w:tab w:val="left" w:pos="9000" w:leader="none"/>
        </w:tabs>
        <w:ind w:right="174" w:firstLine="720"/>
        <w:jc w:val="both"/>
        <w:rPr>
          <w:color w:val="000000"/>
        </w:rPr>
      </w:pPr>
      <w:r>
        <w:rPr>
          <w:color w:val="000000"/>
        </w:rPr>
        <w:t xml:space="preserve">Во всех территориальных зонах городского и других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  </w:t>
      </w:r>
    </w:p>
    <w:p>
      <w:pPr>
        <w:pStyle w:val="Normal"/>
        <w:widowControl w:val="false"/>
        <w:ind w:right="325" w:firstLine="720"/>
        <w:jc w:val="both"/>
        <w:rPr>
          <w:color w:val="000000"/>
        </w:rPr>
      </w:pPr>
      <w:r>
        <w:rPr>
          <w:color w:val="000000"/>
        </w:rPr>
        <w:t xml:space="preserve">В  целях  защиты  населения  от  воздействия  электрического  поля,  создаваемого воздушными линиями электропередачи, устанавливаются санитарные разрывы – территория вдоль  трассы  высоковольтной  линии,  в  которой  напряженность  электрического  поля превышает 1 кВ/м.  </w:t>
      </w:r>
    </w:p>
    <w:p>
      <w:pPr>
        <w:pStyle w:val="Normal"/>
        <w:widowControl w:val="false"/>
        <w:ind w:right="325" w:firstLine="720"/>
        <w:jc w:val="both"/>
        <w:rPr>
          <w:color w:val="000000"/>
        </w:rPr>
      </w:pPr>
      <w:r>
        <w:rPr>
          <w:color w:val="000000"/>
        </w:rPr>
        <w:t xml:space="preserve">Для  воздушных  линий  электропередачи  устанавливаются  охранные  зоны  согласно Постановлению Правительства Российской Федерации от 24 февраля 2009г. №160. </w:t>
      </w:r>
    </w:p>
    <w:p>
      <w:pPr>
        <w:pStyle w:val="Normal"/>
        <w:widowControl w:val="false"/>
        <w:ind w:right="325" w:firstLine="720"/>
        <w:jc w:val="both"/>
        <w:rPr>
          <w:color w:val="000000"/>
        </w:rPr>
      </w:pPr>
      <w:r>
        <w:rPr>
          <w:color w:val="000000"/>
        </w:rPr>
        <w:t xml:space="preserve">Проектирование новых подстанций открытого типа в зонах массового жилищного строительства и в существующих жилых зонах запрещается. </w:t>
      </w:r>
    </w:p>
    <w:p>
      <w:pPr>
        <w:pStyle w:val="Normal"/>
        <w:widowControl w:val="false"/>
        <w:ind w:right="325" w:firstLine="720"/>
        <w:jc w:val="both"/>
        <w:rPr>
          <w:color w:val="000000"/>
        </w:rPr>
      </w:pPr>
      <w:r>
        <w:rPr>
          <w:color w:val="000000"/>
        </w:rPr>
        <w:t xml:space="preserve">На  существующих  подстанциях  открытого  типа  следует  осуществлять шумозащитные мероприятия, обеспечивающие снижение уровня шума в жилых и культурно- бытовых  зданиях  до  нормативного,  и  мероприятия  по  защите  населения  от электромагнитного влияния. </w:t>
      </w:r>
    </w:p>
    <w:p>
      <w:pPr>
        <w:pStyle w:val="Normal"/>
        <w:widowControl w:val="false"/>
        <w:ind w:right="325" w:firstLine="720"/>
        <w:jc w:val="both"/>
        <w:rPr>
          <w:color w:val="000000"/>
        </w:rPr>
      </w:pPr>
      <w:r>
        <w:rPr>
          <w:color w:val="000000"/>
        </w:rPr>
        <w:t xml:space="preserve">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w:t>
      </w:r>
    </w:p>
    <w:p>
      <w:pPr>
        <w:pStyle w:val="Normal"/>
        <w:widowControl w:val="false"/>
        <w:ind w:right="325" w:firstLine="720"/>
        <w:jc w:val="both"/>
        <w:rPr>
          <w:color w:val="000000"/>
        </w:rPr>
      </w:pPr>
      <w:r>
        <w:rPr>
          <w:color w:val="000000"/>
        </w:rPr>
        <w:t xml:space="preserve">При размещении отдельно стоящих распределительных пунктов и трансформаторных подстанций напряжением 6-20 кВ при числе трансформаторов не более двух мощностью каждого до 1000 кВА и выполнении мер по шумозащите, расстояние от них до окон жилых и общественных  зданий  следует  принимать  не  менее  10  м,  а  до  зданий  лечебно - профилактических учреждений – не менее 25 м.  </w:t>
      </w:r>
    </w:p>
    <w:p>
      <w:pPr>
        <w:pStyle w:val="Normal"/>
        <w:widowControl w:val="false"/>
        <w:ind w:right="325" w:firstLine="720"/>
        <w:jc w:val="both"/>
        <w:rPr>
          <w:color w:val="000000"/>
        </w:rPr>
      </w:pPr>
      <w:r>
        <w:rPr>
          <w:color w:val="000000"/>
        </w:rPr>
        <w:t xml:space="preserve">При  проектировании  электроснабжения    сельских  поселений необходимо  учитывать  требования  к  обеспечению  его  надежности  в  соответствии  с категорией электроприемников проектируемых объектов.  </w:t>
      </w:r>
    </w:p>
    <w:p>
      <w:pPr>
        <w:pStyle w:val="Normal"/>
        <w:widowControl w:val="false"/>
        <w:ind w:right="325" w:firstLine="720"/>
        <w:jc w:val="both"/>
        <w:rPr>
          <w:color w:val="000000"/>
        </w:rPr>
      </w:pPr>
      <w:r>
        <w:rPr>
          <w:color w:val="000000"/>
        </w:rPr>
        <w:t>Перечень  основных  электроприемников  потребителей  сельских поселений  с  их  категорированием  по  надежности  электроснабжения  определяется  в соответствии с требованиями РД 34.20.185-94.</w:t>
      </w:r>
    </w:p>
    <w:p>
      <w:pPr>
        <w:pStyle w:val="Normal"/>
        <w:widowControl w:val="false"/>
        <w:ind w:right="325" w:firstLine="720"/>
        <w:jc w:val="both"/>
        <w:rPr>
          <w:color w:val="000000"/>
        </w:rPr>
      </w:pPr>
      <w:r>
        <w:rPr>
          <w:color w:val="000000"/>
        </w:rPr>
        <w:t xml:space="preserve">При  проектировании  нового  строительства,  расширения,  реконструкции  и технического перевооружения сетевых объектов необходимо: </w:t>
      </w:r>
    </w:p>
    <w:p>
      <w:pPr>
        <w:pStyle w:val="Normal"/>
        <w:widowControl w:val="false"/>
        <w:ind w:right="354" w:firstLine="720"/>
        <w:jc w:val="both"/>
        <w:rPr>
          <w:color w:val="000000"/>
        </w:rPr>
      </w:pPr>
      <w:r>
        <w:rPr>
          <w:color w:val="000000"/>
        </w:rPr>
        <w:t xml:space="preserve">1) обеспечить  сетевое  резервирование  в  качестве  схемного  решения  повышения надежности электроснабжения; </w:t>
      </w:r>
    </w:p>
    <w:p>
      <w:pPr>
        <w:pStyle w:val="Normal"/>
        <w:widowControl w:val="false"/>
        <w:ind w:right="153" w:firstLine="720"/>
        <w:jc w:val="both"/>
        <w:rPr>
          <w:color w:val="000000"/>
        </w:rPr>
      </w:pPr>
      <w:r>
        <w:rPr>
          <w:color w:val="000000"/>
        </w:rPr>
        <w:t xml:space="preserve">2) обеспечить сетевым резервированием должны все подстанции напряжением 35 - 220 кВ; </w:t>
      </w:r>
    </w:p>
    <w:p>
      <w:pPr>
        <w:pStyle w:val="Normal"/>
        <w:widowControl w:val="false"/>
        <w:ind w:right="153" w:firstLine="720"/>
        <w:jc w:val="both"/>
        <w:rPr>
          <w:color w:val="000000"/>
        </w:rPr>
      </w:pPr>
      <w:r>
        <w:rPr>
          <w:color w:val="000000"/>
        </w:rPr>
        <w:t xml:space="preserve">3) сформировать  систему  электроснабжения  потребителей  из  условия  однократного сетевого резервирования; </w:t>
      </w:r>
    </w:p>
    <w:p>
      <w:pPr>
        <w:pStyle w:val="Normal"/>
        <w:widowControl w:val="false"/>
        <w:ind w:right="-30" w:firstLine="720"/>
        <w:jc w:val="both"/>
        <w:rPr>
          <w:color w:val="000000"/>
        </w:rPr>
      </w:pPr>
      <w:r>
        <w:rPr>
          <w:color w:val="000000"/>
        </w:rPr>
        <w:t xml:space="preserve">4) для  особой  группы  электроприемников  необходимо  предусмотреть  резервный (автономный) источник питания, который устанавливает потребитель. </w:t>
      </w:r>
    </w:p>
    <w:p>
      <w:pPr>
        <w:pStyle w:val="Normal"/>
        <w:widowControl w:val="false"/>
        <w:ind w:right="-30" w:firstLine="720"/>
        <w:jc w:val="center"/>
        <w:rPr>
          <w:color w:val="000000"/>
        </w:rPr>
      </w:pPr>
      <w:r>
        <w:rPr>
          <w:color w:val="000000"/>
        </w:rPr>
      </w:r>
    </w:p>
    <w:p>
      <w:pPr>
        <w:pStyle w:val="Normal"/>
        <w:widowControl w:val="false"/>
        <w:ind w:right="-30" w:firstLine="720"/>
        <w:jc w:val="center"/>
        <w:rPr>
          <w:color w:val="000000"/>
        </w:rPr>
      </w:pPr>
      <w:r>
        <w:rPr>
          <w:color w:val="000000"/>
        </w:rPr>
      </w:r>
    </w:p>
    <w:p>
      <w:pPr>
        <w:pStyle w:val="Normal"/>
        <w:widowControl w:val="false"/>
        <w:tabs>
          <w:tab w:val="left" w:pos="1610" w:leader="none"/>
        </w:tabs>
        <w:ind w:left="514" w:right="-30" w:firstLine="720"/>
        <w:jc w:val="center"/>
        <w:rPr>
          <w:b/>
          <w:b/>
          <w:color w:val="000000"/>
        </w:rPr>
      </w:pPr>
      <w:r>
        <w:rPr>
          <w:b/>
          <w:color w:val="000000"/>
        </w:rPr>
        <w:t xml:space="preserve">Расчетные показатели минимально допустимого уровня обеспеченности объектами электроснабжения </w:t>
      </w:r>
      <w:r>
        <w:rPr>
          <w:b/>
        </w:rPr>
        <w:t>населения  муниципального образования «Боханский район»</w:t>
      </w:r>
    </w:p>
    <w:p>
      <w:pPr>
        <w:pStyle w:val="Normal"/>
        <w:widowControl w:val="false"/>
        <w:spacing w:lineRule="exact" w:line="285" w:before="75" w:after="0"/>
        <w:ind w:right="-30" w:hanging="0"/>
        <w:jc w:val="right"/>
        <w:rPr>
          <w:b/>
          <w:b/>
          <w:color w:val="000000"/>
          <w:sz w:val="22"/>
        </w:rPr>
      </w:pPr>
      <w:r>
        <w:rPr>
          <w:color w:val="000000"/>
        </w:rPr>
        <w:t>Таблица 14</w:t>
      </w:r>
      <w:r>
        <w:rPr>
          <w:b/>
          <w:color w:val="000000"/>
          <w:sz w:val="22"/>
        </w:rPr>
        <w:t xml:space="preserve"> </w:t>
      </w:r>
    </w:p>
    <w:tbl>
      <w:tblPr>
        <w:tblW w:w="9889"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5352"/>
        <w:gridCol w:w="1418"/>
        <w:gridCol w:w="1418"/>
        <w:gridCol w:w="1700"/>
      </w:tblGrid>
      <w:tr>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t>Наименование объекта (наименование ресурса) *</w:t>
            </w:r>
          </w:p>
        </w:tc>
        <w:tc>
          <w:tcPr>
            <w:tcW w:w="4536"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Минимально допустимый уровень</w:t>
            </w:r>
          </w:p>
        </w:tc>
      </w:tr>
      <w:tr>
        <w:trPr>
          <w:trHeight w:val="426"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b/>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Единица измерения</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Величина</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 xml:space="preserve">Обоснование </w:t>
            </w:r>
          </w:p>
        </w:tc>
      </w:tr>
      <w:tr>
        <w:trPr>
          <w:trHeight w:val="189"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t>Электроснабжение</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b/>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b/>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
                <w:b/>
              </w:rPr>
            </w:pPr>
            <w:r>
              <w:rPr>
                <w:b/>
              </w:rPr>
            </w:r>
          </w:p>
        </w:tc>
      </w:tr>
      <w:tr>
        <w:trPr>
          <w:trHeight w:val="237"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t>Укрупненные показатели электропотребления:</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b/>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b/>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
                <w:b/>
              </w:rPr>
            </w:pPr>
            <w:r>
              <w:rPr>
                <w:b/>
              </w:rPr>
            </w:r>
          </w:p>
        </w:tc>
      </w:tr>
      <w:tr>
        <w:trPr>
          <w:trHeight w:val="1485"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t>Электроэнергия, электропотребление**</w:t>
            </w:r>
          </w:p>
          <w:p>
            <w:pPr>
              <w:pStyle w:val="Normal"/>
              <w:rPr/>
            </w:pPr>
            <w:r>
              <w:rPr/>
              <w:t>Поселки и сельские поселения (без кондиционеров):</w:t>
            </w:r>
          </w:p>
          <w:p>
            <w:pPr>
              <w:pStyle w:val="Normal"/>
              <w:rPr/>
            </w:pPr>
            <w:r>
              <w:rPr/>
              <w:t xml:space="preserve">- не оборудованные стационарными электроплитами </w:t>
            </w:r>
          </w:p>
          <w:p>
            <w:pPr>
              <w:pStyle w:val="Normal"/>
              <w:rPr/>
            </w:pPr>
            <w:r>
              <w:rPr/>
              <w:t>-  оборудованные стационарными электроплитами (100% охвата)</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кВт ч/год на 1 чел.</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p>
            <w:pPr>
              <w:pStyle w:val="Normal"/>
              <w:rPr/>
            </w:pPr>
            <w:r>
              <w:rPr/>
            </w:r>
          </w:p>
          <w:p>
            <w:pPr>
              <w:pStyle w:val="Normal"/>
              <w:rPr/>
            </w:pPr>
            <w:r>
              <w:rPr/>
            </w:r>
          </w:p>
          <w:p>
            <w:pPr>
              <w:pStyle w:val="Normal"/>
              <w:rPr/>
            </w:pPr>
            <w:r>
              <w:rPr/>
            </w:r>
          </w:p>
          <w:p>
            <w:pPr>
              <w:pStyle w:val="Normal"/>
              <w:rPr/>
            </w:pPr>
            <w:r>
              <w:rPr/>
              <w:t>950</w:t>
            </w:r>
          </w:p>
          <w:p>
            <w:pPr>
              <w:pStyle w:val="Normal"/>
              <w:rPr/>
            </w:pPr>
            <w:r>
              <w:rPr/>
            </w:r>
          </w:p>
          <w:p>
            <w:pPr>
              <w:pStyle w:val="Normal"/>
              <w:rPr/>
            </w:pPr>
            <w:r>
              <w:rPr/>
              <w:t>1350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СП 42.13330.2011</w:t>
            </w:r>
          </w:p>
        </w:tc>
      </w:tr>
      <w:tr>
        <w:trPr>
          <w:trHeight w:val="1422"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t>Электроэнергия, использование максимума электрической нагрузки**</w:t>
            </w:r>
          </w:p>
          <w:p>
            <w:pPr>
              <w:pStyle w:val="Normal"/>
              <w:rPr/>
            </w:pPr>
            <w:r>
              <w:rPr/>
              <w:t>Поселки и сельские поселения (без кондиционеров):</w:t>
            </w:r>
          </w:p>
          <w:p>
            <w:pPr>
              <w:pStyle w:val="Normal"/>
              <w:rPr/>
            </w:pPr>
            <w:r>
              <w:rPr/>
              <w:t xml:space="preserve">- не оборудованные стационарными электроплитами </w:t>
            </w:r>
          </w:p>
          <w:p>
            <w:pPr>
              <w:pStyle w:val="Normal"/>
              <w:rPr/>
            </w:pPr>
            <w:r>
              <w:rPr/>
              <w:t>-  оборудованные стационарными электроплитами (100% охвата)</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ч/год</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4100</w:t>
            </w:r>
          </w:p>
          <w:p>
            <w:pPr>
              <w:pStyle w:val="Normal"/>
              <w:rPr/>
            </w:pPr>
            <w:r>
              <w:rPr/>
            </w:r>
          </w:p>
          <w:p>
            <w:pPr>
              <w:pStyle w:val="Normal"/>
              <w:rPr/>
            </w:pPr>
            <w:r>
              <w:rPr/>
              <w:t>4400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СП 42.13330.2011</w:t>
            </w:r>
          </w:p>
        </w:tc>
      </w:tr>
      <w:tr>
        <w:trPr>
          <w:trHeight w:val="1909"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t>Электрические нагрузки, расход электроэнергии***</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Согласно РД 34.20.185-94</w:t>
            </w:r>
          </w:p>
        </w:tc>
      </w:tr>
      <w:tr>
        <w:trPr>
          <w:trHeight w:val="1725"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r>
          </w:p>
        </w:tc>
      </w:tr>
      <w:tr>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r>
          </w:p>
        </w:tc>
      </w:tr>
      <w:tr>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r>
          </w:p>
        </w:tc>
      </w:tr>
      <w:tr>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r>
          </w:p>
        </w:tc>
      </w:tr>
    </w:tbl>
    <w:p>
      <w:pPr>
        <w:pStyle w:val="Footnotetext"/>
        <w:rPr>
          <w:color w:val="000000"/>
        </w:rPr>
      </w:pPr>
      <w:r>
        <w:rPr>
          <w:color w:val="000000"/>
        </w:rPr>
        <w:t xml:space="preserve">Примечания: </w:t>
      </w:r>
    </w:p>
    <w:p>
      <w:pPr>
        <w:pStyle w:val="Normal"/>
        <w:widowControl w:val="false"/>
        <w:spacing w:lineRule="exact" w:line="260"/>
        <w:ind w:right="329" w:hanging="0"/>
        <w:jc w:val="both"/>
        <w:rPr>
          <w:color w:val="000000"/>
          <w:sz w:val="20"/>
          <w:szCs w:val="20"/>
        </w:rPr>
      </w:pPr>
      <w:r>
        <w:rPr>
          <w:color w:val="000000"/>
          <w:sz w:val="20"/>
          <w:szCs w:val="20"/>
        </w:rPr>
        <w:t xml:space="preserve">1. Укрупненные  показатели  электропотребления  приводятся  для  малых городов численностью до 50 тысяч человек.          </w:t>
      </w:r>
    </w:p>
    <w:p>
      <w:pPr>
        <w:pStyle w:val="Normal"/>
        <w:widowControl w:val="false"/>
        <w:spacing w:lineRule="exact" w:line="250"/>
        <w:ind w:right="329" w:hanging="0"/>
        <w:jc w:val="both"/>
        <w:rPr>
          <w:color w:val="000000"/>
          <w:sz w:val="20"/>
          <w:szCs w:val="20"/>
        </w:rPr>
      </w:pPr>
      <w:r>
        <w:rPr>
          <w:color w:val="000000"/>
          <w:sz w:val="20"/>
          <w:szCs w:val="20"/>
        </w:rPr>
        <w:t xml:space="preserve">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 </w:t>
      </w:r>
    </w:p>
    <w:p>
      <w:pPr>
        <w:pStyle w:val="Normal"/>
        <w:widowControl w:val="false"/>
        <w:spacing w:lineRule="exact" w:line="250"/>
        <w:ind w:right="328" w:hanging="0"/>
        <w:jc w:val="both"/>
        <w:rPr>
          <w:color w:val="000000"/>
          <w:sz w:val="20"/>
          <w:szCs w:val="20"/>
        </w:rPr>
      </w:pPr>
      <w:r>
        <w:rPr>
          <w:color w:val="000000"/>
          <w:sz w:val="20"/>
          <w:szCs w:val="20"/>
        </w:rPr>
        <w:t xml:space="preserve">3.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w:t>
      </w:r>
    </w:p>
    <w:p>
      <w:pPr>
        <w:pStyle w:val="Normal"/>
        <w:widowControl w:val="false"/>
        <w:spacing w:lineRule="exact" w:line="250"/>
        <w:ind w:right="329" w:hanging="0"/>
        <w:jc w:val="both"/>
        <w:rPr>
          <w:color w:val="000000"/>
          <w:sz w:val="20"/>
          <w:szCs w:val="20"/>
        </w:rPr>
      </w:pPr>
      <w:r>
        <w:rPr>
          <w:color w:val="000000"/>
          <w:sz w:val="20"/>
          <w:szCs w:val="20"/>
        </w:rPr>
        <w:t xml:space="preserve">4.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 </w:t>
      </w:r>
    </w:p>
    <w:p>
      <w:pPr>
        <w:pStyle w:val="Normal"/>
        <w:widowControl w:val="false"/>
        <w:spacing w:lineRule="exact" w:line="240"/>
        <w:ind w:right="329" w:hanging="0"/>
        <w:jc w:val="both"/>
        <w:rPr>
          <w:color w:val="000000"/>
          <w:sz w:val="20"/>
          <w:szCs w:val="20"/>
        </w:rPr>
      </w:pPr>
      <w:r>
        <w:rPr>
          <w:color w:val="000000"/>
          <w:sz w:val="20"/>
          <w:szCs w:val="20"/>
        </w:rPr>
        <w:t>5.  (***)  Расчёт  электрических  нагрузок  для  разных  типов  застройки  следует  производить  в соответствии с нормами РД 34.20.185-94.</w:t>
      </w:r>
    </w:p>
    <w:p>
      <w:pPr>
        <w:pStyle w:val="Normal"/>
        <w:widowControl w:val="false"/>
        <w:tabs>
          <w:tab w:val="left" w:pos="1610" w:leader="none"/>
        </w:tabs>
        <w:ind w:left="514" w:right="-30" w:hanging="0"/>
        <w:jc w:val="both"/>
        <w:rPr>
          <w:b/>
          <w:b/>
          <w:color w:val="000000"/>
          <w:sz w:val="22"/>
        </w:rPr>
      </w:pPr>
      <w:r>
        <w:rPr>
          <w:b/>
          <w:color w:val="000000"/>
          <w:sz w:val="22"/>
        </w:rPr>
      </w:r>
    </w:p>
    <w:p>
      <w:pPr>
        <w:pStyle w:val="Normal"/>
        <w:widowControl w:val="false"/>
        <w:tabs>
          <w:tab w:val="left" w:pos="1610" w:leader="none"/>
        </w:tabs>
        <w:ind w:left="514" w:right="-30" w:firstLine="720"/>
        <w:jc w:val="both"/>
        <w:rPr>
          <w:b/>
          <w:b/>
          <w:color w:val="000000"/>
        </w:rPr>
      </w:pPr>
      <w:r>
        <w:rPr>
          <w:b/>
          <w:color w:val="000000"/>
        </w:rPr>
        <w:t xml:space="preserve">Расчетные показатели максимально допустимого уровня территориальной доступности объектами электроснабжения для населения </w:t>
      </w:r>
      <w:r>
        <w:rPr>
          <w:b/>
        </w:rPr>
        <w:t xml:space="preserve"> муниципального образования «Боханский район».</w:t>
      </w:r>
    </w:p>
    <w:p>
      <w:pPr>
        <w:pStyle w:val="Normal"/>
        <w:widowControl w:val="false"/>
        <w:spacing w:lineRule="exact" w:line="285" w:before="75" w:after="0"/>
        <w:ind w:right="283" w:firstLine="720"/>
        <w:jc w:val="both"/>
        <w:rPr>
          <w:color w:val="000000"/>
          <w:sz w:val="22"/>
        </w:rPr>
      </w:pPr>
      <w:r>
        <w:rPr>
          <w:color w:val="000000"/>
          <w:sz w:val="22"/>
        </w:rPr>
        <w:t>Максимально допустимый уровень территориальной доступности объектов электроснабжения не нормируется.</w:t>
      </w:r>
    </w:p>
    <w:p>
      <w:pPr>
        <w:pStyle w:val="Normal"/>
        <w:tabs>
          <w:tab w:val="left" w:pos="3544" w:leader="none"/>
        </w:tabs>
        <w:ind w:firstLine="720"/>
        <w:jc w:val="center"/>
        <w:rPr>
          <w:b/>
          <w:b/>
        </w:rPr>
      </w:pPr>
      <w:r>
        <w:rPr>
          <w:b/>
        </w:rPr>
      </w:r>
    </w:p>
    <w:p>
      <w:pPr>
        <w:pStyle w:val="Normal"/>
        <w:widowControl w:val="false"/>
        <w:spacing w:lineRule="exact" w:line="285" w:before="75" w:after="0"/>
        <w:ind w:right="-30" w:hanging="0"/>
        <w:jc w:val="center"/>
        <w:rPr>
          <w:b/>
          <w:b/>
          <w:color w:val="000000"/>
          <w:sz w:val="22"/>
        </w:rPr>
      </w:pPr>
      <w:r>
        <w:rPr>
          <w:b/>
        </w:rPr>
        <w:t xml:space="preserve">2.5.10. </w:t>
      </w:r>
      <w:r>
        <w:rPr>
          <w:b/>
          <w:color w:val="000000"/>
          <w:sz w:val="22"/>
        </w:rPr>
        <w:t>Объекты газоснабжения</w:t>
      </w:r>
    </w:p>
    <w:p>
      <w:pPr>
        <w:pStyle w:val="3"/>
        <w:tabs>
          <w:tab w:val="left" w:pos="3479" w:leader="none"/>
        </w:tabs>
        <w:spacing w:before="0" w:after="0"/>
        <w:ind w:firstLine="709"/>
        <w:rPr>
          <w:szCs w:val="24"/>
        </w:rPr>
      </w:pPr>
      <w:r>
        <w:rPr>
          <w:szCs w:val="24"/>
        </w:rPr>
        <w:tab/>
      </w:r>
    </w:p>
    <w:p>
      <w:pPr>
        <w:pStyle w:val="Normal"/>
        <w:ind w:firstLine="709"/>
        <w:jc w:val="both"/>
        <w:rPr/>
      </w:pPr>
      <w:r>
        <w:rPr/>
        <w:t>В настоящее время газоснабжение района природным газом не осуществляется, газоснабжение малой части населения района (порядка 10%) осуществляется сжиженным газом. Поставку баллонов осуществляет ОАО «Иркутскоблгаз».</w:t>
      </w:r>
    </w:p>
    <w:p>
      <w:pPr>
        <w:pStyle w:val="Normal"/>
        <w:widowControl w:val="false"/>
        <w:spacing w:lineRule="exact" w:line="285" w:before="75" w:after="0"/>
        <w:ind w:right="-30" w:hanging="0"/>
        <w:jc w:val="center"/>
        <w:rPr>
          <w:b/>
          <w:b/>
          <w:color w:val="000000"/>
          <w:sz w:val="22"/>
        </w:rPr>
      </w:pPr>
      <w:r>
        <w:rPr>
          <w:b/>
          <w:color w:val="000000"/>
          <w:sz w:val="22"/>
        </w:rPr>
      </w:r>
    </w:p>
    <w:p>
      <w:pPr>
        <w:pStyle w:val="Normal"/>
        <w:widowControl w:val="false"/>
        <w:tabs>
          <w:tab w:val="left" w:pos="3544" w:leader="none"/>
        </w:tabs>
        <w:spacing w:lineRule="exact" w:line="285" w:before="75" w:after="0"/>
        <w:jc w:val="center"/>
        <w:rPr>
          <w:b/>
          <w:b/>
          <w:color w:val="000000"/>
        </w:rPr>
      </w:pPr>
      <w:r>
        <w:rPr>
          <w:b/>
          <w:color w:val="000000"/>
        </w:rPr>
      </w:r>
    </w:p>
    <w:p>
      <w:pPr>
        <w:pStyle w:val="Normal"/>
        <w:widowControl w:val="false"/>
        <w:tabs>
          <w:tab w:val="left" w:pos="1080" w:leader="none"/>
        </w:tabs>
        <w:spacing w:lineRule="exact" w:line="285" w:before="75" w:after="0"/>
        <w:ind w:right="-30" w:firstLine="720"/>
        <w:jc w:val="center"/>
        <w:rPr>
          <w:b/>
          <w:b/>
          <w:color w:val="000000"/>
        </w:rPr>
      </w:pPr>
      <w:r>
        <w:rPr>
          <w:b/>
        </w:rPr>
        <w:t xml:space="preserve">2.5.11. </w:t>
      </w:r>
      <w:r>
        <w:rPr>
          <w:b/>
          <w:color w:val="000000"/>
        </w:rPr>
        <w:t>Объекты  культурного  наследия  местного (муниципального) значения</w:t>
      </w:r>
    </w:p>
    <w:p>
      <w:pPr>
        <w:pStyle w:val="Normal"/>
        <w:widowControl w:val="false"/>
        <w:tabs>
          <w:tab w:val="left" w:pos="1080" w:leader="none"/>
        </w:tabs>
        <w:spacing w:lineRule="exact" w:line="285" w:before="75" w:after="0"/>
        <w:ind w:right="-30" w:firstLine="720"/>
        <w:jc w:val="both"/>
        <w:rPr>
          <w:color w:val="000000"/>
        </w:rPr>
      </w:pPr>
      <w:r>
        <w:rPr>
          <w:color w:val="000000"/>
        </w:rPr>
        <w:t>Виды и категории историко-культурного значения объектов культурного наследия (памятников истории и культуры) народов Российской Федерации определяются в соответствии с требованиями статей 3 и 4 Федерального закона от 25.06.2002 №73-ФЗ «Об объектах культурного наследия (памятниках истории и культуры) народов Российской Федерации».</w:t>
      </w:r>
    </w:p>
    <w:p>
      <w:pPr>
        <w:pStyle w:val="Normal"/>
        <w:widowControl w:val="false"/>
        <w:tabs>
          <w:tab w:val="left" w:pos="1080" w:leader="none"/>
        </w:tabs>
        <w:spacing w:lineRule="exact" w:line="277" w:before="75" w:after="0"/>
        <w:ind w:firstLine="720"/>
        <w:jc w:val="both"/>
        <w:rPr>
          <w:color w:val="000000"/>
        </w:rPr>
      </w:pPr>
      <w:r>
        <w:rPr>
          <w:color w:val="000000"/>
        </w:rPr>
        <w:t xml:space="preserve">Историко-культурное значение городского и сельских поселений  определяется наличием  на  их  территории  объектов  культурного  наследия местного (муниципального) значения. </w:t>
      </w:r>
    </w:p>
    <w:p>
      <w:pPr>
        <w:pStyle w:val="Normal"/>
        <w:widowControl w:val="false"/>
        <w:spacing w:lineRule="exact" w:line="280"/>
        <w:ind w:firstLine="720"/>
        <w:jc w:val="both"/>
        <w:rPr>
          <w:color w:val="000000"/>
        </w:rPr>
      </w:pPr>
      <w:r>
        <w:rPr>
          <w:color w:val="000000"/>
        </w:rPr>
        <w:t xml:space="preserve">На территориях городского и сельских  поселений в составе функциональных зон выделяются  земли  историко-культурного  назначения,  к  которым  относятся  земельные участки  в  границах  территорий  объектов  культурного  наследия  (памятников,  ансамблей, достопримечательных мест). </w:t>
      </w:r>
    </w:p>
    <w:p>
      <w:pPr>
        <w:pStyle w:val="Normal"/>
        <w:widowControl w:val="false"/>
        <w:spacing w:lineRule="exact" w:line="275"/>
        <w:ind w:firstLine="720"/>
        <w:jc w:val="both"/>
        <w:rPr>
          <w:color w:val="000000"/>
        </w:rPr>
      </w:pPr>
      <w:r>
        <w:rPr>
          <w:color w:val="000000"/>
        </w:rPr>
        <w:t xml:space="preserve">Земельные  участки  в  границах  территорий  объектов  культурного  наследия, состоящих  в «Списке вновь выявленных объектов, представляющих историческую, научную, художественную или иную культурную ценность»,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действующим законодательством. </w:t>
      </w:r>
    </w:p>
    <w:p>
      <w:pPr>
        <w:pStyle w:val="Normal"/>
        <w:widowControl w:val="false"/>
        <w:tabs>
          <w:tab w:val="left" w:pos="1080" w:leader="none"/>
        </w:tabs>
        <w:spacing w:lineRule="exact" w:line="285" w:before="75" w:after="0"/>
        <w:ind w:right="-30" w:firstLine="720"/>
        <w:jc w:val="both"/>
        <w:rPr>
          <w:color w:val="000000"/>
        </w:rPr>
      </w:pPr>
      <w:r>
        <w:rPr>
          <w:color w:val="000000"/>
        </w:rPr>
        <w:t>Использование объекта культурного наследия либо земельного участка или участка водного объекта, в пределах которого располагается объект археологического наследия должно осуществляться в соответствии с требованиями Федерального закона от 25.06.2002 № 73-ФЗ «Об объектах культурного наследия (памятниках истории и культуры) народов Российской Федерации», постановления Правительства Российской Федерации от 26.04.2008 №315 «Об утверждении Положения о зонах охраны объектов культурного наследия (памятниках истории и культуры) народов Российской Федерации» и Закона Иркутской области от 23.07.2008 № 57-ОЗ «Об объектах культурного наследия (памятниках истории и культуры) Иркутской области.</w:t>
      </w:r>
    </w:p>
    <w:p>
      <w:pPr>
        <w:pStyle w:val="Normal"/>
        <w:widowControl w:val="false"/>
        <w:tabs>
          <w:tab w:val="left" w:pos="1080" w:leader="none"/>
        </w:tabs>
        <w:spacing w:lineRule="exact" w:line="285" w:before="75" w:after="0"/>
        <w:ind w:right="-30" w:firstLine="720"/>
        <w:jc w:val="both"/>
        <w:rPr>
          <w:color w:val="000000"/>
        </w:rPr>
      </w:pPr>
      <w:r>
        <w:rPr>
          <w:color w:val="000000"/>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в соответствии с требованиями статьи 34 Федерального закона от 25.06.2002 №73-ФЗ «Об объектах культурного наследия (памятниках истории и культуры) народов Российской Федерации».</w:t>
      </w:r>
    </w:p>
    <w:p>
      <w:pPr>
        <w:pStyle w:val="Normal"/>
        <w:widowControl w:val="false"/>
        <w:spacing w:lineRule="exact" w:line="275"/>
        <w:ind w:firstLine="720"/>
        <w:jc w:val="both"/>
        <w:rPr>
          <w:color w:val="000000"/>
        </w:rPr>
      </w:pPr>
      <w:r>
        <w:rPr>
          <w:color w:val="000000"/>
        </w:rPr>
        <w:t xml:space="preserve">Границы зон охраны объекта культурного наследия, режимы использования земель и градостроительные регламенты в границах данных зон устанавливаются в соответствии с Законом Иркутской области от 23.07.2008 № 57-ОЗ «Об объектах культурного наследия (памятниках истории и культуры) Иркутской области, на основании предварительно разработанных проектов зон охраны объекта культурного наследия. </w:t>
      </w:r>
    </w:p>
    <w:p>
      <w:pPr>
        <w:pStyle w:val="Normal"/>
        <w:widowControl w:val="false"/>
        <w:spacing w:lineRule="exact" w:line="275"/>
        <w:ind w:firstLine="720"/>
        <w:jc w:val="both"/>
        <w:rPr>
          <w:color w:val="000000"/>
        </w:rPr>
      </w:pPr>
      <w:r>
        <w:rPr>
          <w:color w:val="000000"/>
        </w:rPr>
        <w:t xml:space="preserve">Проект зон охраны объекта культурного наследия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 </w:t>
      </w:r>
    </w:p>
    <w:p>
      <w:pPr>
        <w:pStyle w:val="Normal"/>
        <w:widowControl w:val="false"/>
        <w:spacing w:lineRule="exact" w:line="275"/>
        <w:ind w:firstLine="720"/>
        <w:jc w:val="both"/>
        <w:rPr>
          <w:color w:val="000000"/>
        </w:rPr>
      </w:pPr>
      <w:r>
        <w:rPr>
          <w:color w:val="000000"/>
        </w:rPr>
        <w:t xml:space="preserve">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w:t>
      </w:r>
    </w:p>
    <w:p>
      <w:pPr>
        <w:pStyle w:val="Normal"/>
        <w:widowControl w:val="false"/>
        <w:spacing w:lineRule="exact" w:line="270"/>
        <w:ind w:firstLine="720"/>
        <w:jc w:val="both"/>
        <w:rPr>
          <w:color w:val="000000"/>
        </w:rPr>
      </w:pPr>
      <w:r>
        <w:rPr>
          <w:color w:val="000000"/>
        </w:rPr>
        <w:t xml:space="preserve">Проект зон охраны объекта культурного наследия подлежит в установленном порядке государственной  историко-культурной  экспертизе  в  целях  определения  его  соответствия требованиям государственной охраны объектов культурного наследия. </w:t>
      </w:r>
    </w:p>
    <w:p>
      <w:pPr>
        <w:pStyle w:val="Normal"/>
        <w:widowControl w:val="false"/>
        <w:spacing w:lineRule="exact" w:line="277"/>
        <w:ind w:firstLine="720"/>
        <w:jc w:val="both"/>
        <w:rPr>
          <w:color w:val="000000"/>
        </w:rPr>
      </w:pPr>
      <w:r>
        <w:rPr>
          <w:color w:val="000000"/>
        </w:rPr>
        <w:t>Положительное  заключение  государственной  историко-культурной  экспертизы является основанием для утверждения границ зон охраны объекта культурного наследия, режимов использования земель и градостроительных регламентов в границах данных зон.</w:t>
      </w:r>
    </w:p>
    <w:p>
      <w:pPr>
        <w:pStyle w:val="Normal"/>
        <w:widowControl w:val="false"/>
        <w:spacing w:lineRule="exact" w:line="277"/>
        <w:ind w:firstLine="720"/>
        <w:jc w:val="both"/>
        <w:rPr>
          <w:color w:val="000000"/>
        </w:rPr>
      </w:pPr>
      <w:r>
        <w:rPr>
          <w:color w:val="000000"/>
        </w:rPr>
        <w:t xml:space="preserve">Сведения  о  наличии  зон  охраны  объекта  культурного  наследия  вносятся  в установленном порядке в единый государственный реестр объектов культурного наследия (памятников  истории  и  культуры)  народов  Российской  Федерации  и  в  установленном порядке  представляются  в  орган,  осуществляющий  деятельность  по  ведению государственного кадастра недвижимости. </w:t>
      </w:r>
    </w:p>
    <w:p>
      <w:pPr>
        <w:pStyle w:val="Footnotetext"/>
        <w:ind w:firstLine="709"/>
        <w:jc w:val="both"/>
        <w:rPr>
          <w:color w:val="000000"/>
          <w:spacing w:val="-1"/>
          <w:sz w:val="24"/>
          <w:szCs w:val="24"/>
        </w:rPr>
      </w:pPr>
      <w:r>
        <w:rPr>
          <w:color w:val="000000"/>
          <w:sz w:val="24"/>
          <w:szCs w:val="24"/>
        </w:rPr>
        <w:t xml:space="preserve">Отображение  границ  зон  охраны  объектов  культурного  наследия  в  составе графических  материалов  документов  территориального  планирования,  документации градостроительного зонирования, документации по планировке территории возможна только на  основе  утвержденных  уполномоченными  органами  проектов  зон  охраны  объектов </w:t>
      </w:r>
      <w:r>
        <w:rPr>
          <w:color w:val="000000"/>
          <w:spacing w:val="-1"/>
          <w:sz w:val="24"/>
          <w:szCs w:val="24"/>
        </w:rPr>
        <w:t xml:space="preserve">культурного наследия. </w:t>
      </w:r>
    </w:p>
    <w:p>
      <w:pPr>
        <w:pStyle w:val="Normal"/>
        <w:widowControl w:val="false"/>
        <w:spacing w:lineRule="exact" w:line="276"/>
        <w:ind w:firstLine="720"/>
        <w:jc w:val="both"/>
        <w:rPr>
          <w:color w:val="000000"/>
        </w:rPr>
      </w:pPr>
      <w:r>
        <w:rPr>
          <w:color w:val="000000"/>
        </w:rPr>
        <w:t xml:space="preserve">Территории  объектов  культурного  наследия,  исторического  поселения отображаются  в  документах  территориального  планирования.  </w:t>
      </w:r>
    </w:p>
    <w:p>
      <w:pPr>
        <w:pStyle w:val="Normal"/>
        <w:widowControl w:val="false"/>
        <w:spacing w:lineRule="exact" w:line="273"/>
        <w:ind w:firstLine="720"/>
        <w:jc w:val="both"/>
        <w:rPr>
          <w:color w:val="000000"/>
        </w:rPr>
      </w:pPr>
      <w:r>
        <w:rPr>
          <w:color w:val="000000"/>
        </w:rPr>
        <w:t xml:space="preserve">Одна из целей установления границ территории объектов культурного наследия является обеспечение условий регулирования градостроительной деятельности, в том числе при разработке документации градостроительного зонирования и документации по планировке территории. </w:t>
      </w:r>
    </w:p>
    <w:p>
      <w:pPr>
        <w:pStyle w:val="Footnotetext"/>
        <w:ind w:firstLine="709"/>
        <w:jc w:val="both"/>
        <w:rPr>
          <w:color w:val="000000"/>
          <w:sz w:val="24"/>
          <w:szCs w:val="24"/>
        </w:rPr>
      </w:pPr>
      <w:r>
        <w:rPr>
          <w:color w:val="000000"/>
          <w:sz w:val="24"/>
          <w:szCs w:val="24"/>
        </w:rPr>
        <w:t xml:space="preserve">Проекты  генеральных  планов,  подготовленные  применительно  к  территориям исторических  поселений  федерального  значения  и  территориям  исторических  поселений регионального значения, подлежат согласованию соответственно с федеральным органом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Градостроительным  кодексом  Российской  Федерации  в  порядке, установленном  уполномоченным  Правительством  Российской  Федерации  федеральным органом исполнительной власти. </w:t>
      </w:r>
    </w:p>
    <w:p>
      <w:pPr>
        <w:pStyle w:val="Footnotetext"/>
        <w:ind w:firstLine="709"/>
        <w:jc w:val="both"/>
        <w:rPr>
          <w:color w:val="000000"/>
          <w:sz w:val="24"/>
          <w:szCs w:val="24"/>
        </w:rPr>
      </w:pPr>
      <w:r>
        <w:rPr>
          <w:color w:val="000000"/>
          <w:sz w:val="24"/>
          <w:szCs w:val="24"/>
        </w:rPr>
        <w:t xml:space="preserve">Проекты правил землепользования и застройки, подготовленные применительно к территориям  исторических  поселений  федерального  значения,  подлежат  согласованию  с федеральным органом охраны объектов культурного наследия в установленном им порядке. Проекты  правил  землепользования  и  застройки,  подготовленные  применительно  к территориям исторических поселений регионального значения, подлежат согласованию с органом  исполнительной  власти  субъекта  Российской  Федерации,  уполномоченным  в области  охраны  объектов  культурного  наследия,  в  порядке,  установленном  законом Иркутской области. </w:t>
      </w:r>
    </w:p>
    <w:p>
      <w:pPr>
        <w:pStyle w:val="Footnotetext"/>
        <w:ind w:firstLine="709"/>
        <w:jc w:val="both"/>
        <w:rPr>
          <w:color w:val="000000"/>
          <w:sz w:val="24"/>
          <w:szCs w:val="24"/>
        </w:rPr>
      </w:pPr>
      <w:r>
        <w:rPr>
          <w:color w:val="000000"/>
          <w:sz w:val="24"/>
          <w:szCs w:val="24"/>
        </w:rPr>
        <w:t xml:space="preserve">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федерального значения и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 </w:t>
      </w:r>
    </w:p>
    <w:p>
      <w:pPr>
        <w:pStyle w:val="Footnotetext"/>
        <w:ind w:firstLine="709"/>
        <w:jc w:val="both"/>
        <w:rPr>
          <w:color w:val="000000"/>
          <w:sz w:val="24"/>
          <w:szCs w:val="24"/>
        </w:rPr>
      </w:pPr>
      <w:r>
        <w:rPr>
          <w:color w:val="000000"/>
          <w:sz w:val="24"/>
          <w:szCs w:val="24"/>
        </w:rPr>
        <w:t xml:space="preserve">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 </w:t>
      </w:r>
    </w:p>
    <w:p>
      <w:pPr>
        <w:pStyle w:val="Footnotetext"/>
        <w:ind w:firstLine="709"/>
        <w:jc w:val="both"/>
        <w:rPr>
          <w:color w:val="000000"/>
          <w:sz w:val="24"/>
          <w:szCs w:val="24"/>
        </w:rPr>
      </w:pPr>
      <w:r>
        <w:rPr>
          <w:color w:val="000000"/>
          <w:sz w:val="24"/>
          <w:szCs w:val="24"/>
        </w:rPr>
        <w:t xml:space="preserve">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  предъявляемых Федеральным  законом  от  25.06.2002  N  73-ФЗ  «Об  объектах  культурного  наследия (памятниках истории и культуры) народов Российской Федерации». </w:t>
      </w:r>
    </w:p>
    <w:p>
      <w:pPr>
        <w:pStyle w:val="Footnotetext"/>
        <w:ind w:firstLine="709"/>
        <w:jc w:val="both"/>
        <w:rPr>
          <w:color w:val="000000"/>
          <w:sz w:val="24"/>
          <w:szCs w:val="24"/>
        </w:rPr>
      </w:pPr>
      <w:r>
        <w:rPr>
          <w:color w:val="000000"/>
          <w:sz w:val="24"/>
          <w:szCs w:val="24"/>
        </w:rPr>
        <w:t xml:space="preserve">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 </w:t>
      </w:r>
    </w:p>
    <w:p>
      <w:pPr>
        <w:pStyle w:val="Footnotetext"/>
        <w:ind w:firstLine="709"/>
        <w:jc w:val="both"/>
        <w:rPr>
          <w:color w:val="000000"/>
          <w:sz w:val="24"/>
          <w:szCs w:val="24"/>
        </w:rPr>
      </w:pPr>
      <w:r>
        <w:rPr>
          <w:color w:val="000000"/>
          <w:sz w:val="24"/>
          <w:szCs w:val="24"/>
        </w:rPr>
        <w:t xml:space="preserve">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 </w:t>
      </w:r>
    </w:p>
    <w:p>
      <w:pPr>
        <w:pStyle w:val="Footnotetext"/>
        <w:ind w:firstLine="709"/>
        <w:jc w:val="both"/>
        <w:rPr>
          <w:color w:val="000000"/>
          <w:sz w:val="24"/>
          <w:szCs w:val="24"/>
        </w:rPr>
      </w:pPr>
      <w:r>
        <w:rPr>
          <w:color w:val="000000"/>
          <w:sz w:val="24"/>
          <w:szCs w:val="24"/>
        </w:rPr>
        <w:t xml:space="preserve">При планировке и застройке  сельских поселений следует соблюдать требования законодательства по охране объектов культурного наследия (памятников истории  культуры), предусматривать решения, обеспечивающие их сохранение, использование их градостроительного потенциала.  </w:t>
      </w:r>
    </w:p>
    <w:p>
      <w:pPr>
        <w:pStyle w:val="Footnotetext"/>
        <w:ind w:firstLine="709"/>
        <w:jc w:val="both"/>
        <w:rPr>
          <w:color w:val="000000"/>
          <w:sz w:val="24"/>
          <w:szCs w:val="24"/>
        </w:rPr>
      </w:pPr>
      <w:r>
        <w:rPr>
          <w:color w:val="000000"/>
          <w:sz w:val="24"/>
          <w:szCs w:val="24"/>
        </w:rPr>
        <w:t xml:space="preserve">При  планировке  и  застройке    сельских  поселений  не  должны предусматривать снос, перемещение или другие изменения объектов культурного наследия. В  исключительных  случаях  предложения  по  изменению  состояния  памятников  следует представлять в соответствии с действующим законодательством. </w:t>
      </w:r>
    </w:p>
    <w:p>
      <w:pPr>
        <w:pStyle w:val="Footnotetext"/>
        <w:ind w:firstLine="709"/>
        <w:jc w:val="both"/>
        <w:rPr>
          <w:color w:val="000000"/>
          <w:sz w:val="24"/>
          <w:szCs w:val="24"/>
        </w:rPr>
      </w:pPr>
      <w:r>
        <w:rPr>
          <w:color w:val="000000"/>
          <w:sz w:val="24"/>
          <w:szCs w:val="24"/>
        </w:rPr>
        <w:t xml:space="preserve">Территория  памятника  истории  и  культуры  подлежит  охране  и  использованию вместе с  самим памятником как единый комплекс. На территории памятника запрещена строительная и хозяйственная деятельность, кроме реставрации, регенерации и мероприятий для  обеспечения  физической  сохранности  памятника  и  условий  его  восприятия.  Режим содержания  территории  памятника  допускает  использование  методов  компенсационного строительства в целях восстановления композиционной целостности памятников. </w:t>
      </w:r>
    </w:p>
    <w:p>
      <w:pPr>
        <w:pStyle w:val="Footnotetext"/>
        <w:ind w:firstLine="709"/>
        <w:jc w:val="both"/>
        <w:rPr>
          <w:color w:val="000000"/>
          <w:sz w:val="24"/>
          <w:szCs w:val="24"/>
        </w:rPr>
      </w:pPr>
      <w:r>
        <w:rPr>
          <w:color w:val="000000"/>
          <w:sz w:val="24"/>
          <w:szCs w:val="24"/>
        </w:rPr>
        <w:t xml:space="preserve">Охрану  ценной  исторической  среды  районов  сложившейся  застройки  следует обеспечивать  методами  комплексной  реконструкции,  предусматривая  и  проводя одновременно  работы  по  реставрации  зданий,  имеющих  архитектурную  и  культурную ценность, по реконструкции, модернизации и капитальному строительству существующих зданий, выборочному новому строительству, не нарушающему характер среды, развитию систем инженерного оборудования и благоустройству территории. </w:t>
      </w:r>
    </w:p>
    <w:p>
      <w:pPr>
        <w:pStyle w:val="Footnotetext"/>
        <w:ind w:firstLine="709"/>
        <w:jc w:val="both"/>
        <w:rPr>
          <w:color w:val="000000"/>
          <w:sz w:val="24"/>
          <w:szCs w:val="24"/>
        </w:rPr>
      </w:pPr>
      <w:r>
        <w:rPr>
          <w:color w:val="000000"/>
          <w:sz w:val="24"/>
          <w:szCs w:val="24"/>
        </w:rPr>
        <w:t xml:space="preserve">В  комплексных  проектах  реконструкции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 </w:t>
      </w:r>
    </w:p>
    <w:p>
      <w:pPr>
        <w:pStyle w:val="Normal"/>
        <w:widowControl w:val="false"/>
        <w:spacing w:lineRule="exact" w:line="100"/>
        <w:ind w:firstLine="709"/>
        <w:jc w:val="both"/>
        <w:rPr>
          <w:color w:val="000000"/>
        </w:rPr>
      </w:pPr>
      <w:r>
        <w:rPr>
          <w:color w:val="000000"/>
        </w:rPr>
        <w:t xml:space="preserve"> </w:t>
      </w:r>
    </w:p>
    <w:p>
      <w:pPr>
        <w:pStyle w:val="Footnotetext"/>
        <w:ind w:firstLine="709"/>
        <w:jc w:val="both"/>
        <w:rPr>
          <w:color w:val="000000"/>
          <w:sz w:val="24"/>
          <w:szCs w:val="24"/>
        </w:rPr>
      </w:pPr>
      <w:r>
        <w:rPr>
          <w:color w:val="000000"/>
          <w:sz w:val="24"/>
          <w:szCs w:val="24"/>
        </w:rPr>
        <w:t xml:space="preserve">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  в  соответствии  с  СП 42.13330.2011  Градостроительство.  Планировка  и  застройка  городских  и  сельских поселений. Актуализированная редакция СНиП 2.07.01-89*. </w:t>
      </w:r>
    </w:p>
    <w:p>
      <w:pPr>
        <w:pStyle w:val="Footnotetext"/>
        <w:ind w:firstLine="709"/>
        <w:jc w:val="both"/>
        <w:rPr>
          <w:color w:val="000000"/>
          <w:sz w:val="24"/>
          <w:szCs w:val="24"/>
        </w:rPr>
      </w:pPr>
      <w:r>
        <w:rPr>
          <w:color w:val="000000"/>
          <w:sz w:val="24"/>
          <w:szCs w:val="24"/>
        </w:rPr>
        <w:t xml:space="preserve">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 </w:t>
      </w:r>
    </w:p>
    <w:p>
      <w:pPr>
        <w:pStyle w:val="Footnotetext"/>
        <w:ind w:firstLine="709"/>
        <w:jc w:val="both"/>
        <w:rPr>
          <w:color w:val="000000"/>
        </w:rPr>
      </w:pPr>
      <w:r>
        <w:rPr>
          <w:color w:val="000000"/>
          <w:sz w:val="24"/>
          <w:szCs w:val="24"/>
        </w:rPr>
        <w:t>В  целях  сохранения  традиционной  пространственной  организации  застройки, представляющей  историко-культурную  ценность,  уделить  особое  внимание  сохранению градостроительных характеристик таких как высотность (средняя этажность застройки в квартале, характер уличного фронта), соотношение открытых и застроенных пространств в квартале (процент застроенности территории, плотность застройки), максимальные габариты зданий в квартале (высота (в этажах), длина (в метрах)), линия  застройки  квартала (процент  интервалов  между  домами,  характер архитектурного оформления интервала, ориентация уличных фасадов зданий относительно линии застройки), внутриквартальная  планировка (устойчивая  форма  участков  (дворов),  наибольший размер стороны участка (двора)).</w:t>
      </w:r>
      <w:r>
        <w:rPr>
          <w:color w:val="000000"/>
        </w:rPr>
        <w:t xml:space="preserve"> </w:t>
      </w:r>
    </w:p>
    <w:p>
      <w:pPr>
        <w:pStyle w:val="Normal"/>
        <w:ind w:firstLine="709"/>
        <w:jc w:val="both"/>
        <w:rPr>
          <w:color w:val="000000"/>
        </w:rPr>
      </w:pPr>
      <w:r>
        <w:rPr>
          <w:color w:val="000000"/>
        </w:rPr>
      </w:r>
    </w:p>
    <w:p>
      <w:pPr>
        <w:pStyle w:val="Normal"/>
        <w:widowControl w:val="false"/>
        <w:tabs>
          <w:tab w:val="left" w:pos="1610" w:leader="none"/>
        </w:tabs>
        <w:ind w:left="514" w:firstLine="720"/>
        <w:jc w:val="both"/>
        <w:rPr>
          <w:b/>
          <w:b/>
        </w:rPr>
      </w:pPr>
      <w:r>
        <w:rPr>
          <w:b/>
          <w:color w:val="000000"/>
        </w:rPr>
        <w:t>Расчетные показатели минимально допустимого уровня обеспеченности объектами культурного  наследия</w:t>
      </w:r>
      <w:r>
        <w:rPr>
          <w:b/>
          <w:color w:val="000000"/>
          <w:sz w:val="22"/>
        </w:rPr>
        <w:t xml:space="preserve">  </w:t>
      </w:r>
      <w:r>
        <w:rPr>
          <w:b/>
          <w:color w:val="000000"/>
        </w:rPr>
        <w:t>местного (муниципального) значения  населения му</w:t>
      </w:r>
      <w:r>
        <w:rPr>
          <w:b/>
        </w:rPr>
        <w:t>ниципального образования «Боханский район».</w:t>
      </w:r>
    </w:p>
    <w:p>
      <w:pPr>
        <w:pStyle w:val="Normal"/>
        <w:widowControl w:val="false"/>
        <w:spacing w:lineRule="exact" w:line="285" w:before="75" w:after="0"/>
        <w:ind w:firstLine="720"/>
        <w:jc w:val="both"/>
        <w:rPr>
          <w:color w:val="000000"/>
        </w:rPr>
      </w:pPr>
      <w:r>
        <w:rPr/>
        <w:t xml:space="preserve">Расчетные показатели минимально допустимого уровня обеспеченности объектами культурного  наследия  местного (муниципального) значения </w:t>
      </w:r>
      <w:r>
        <w:rPr>
          <w:color w:val="000000"/>
        </w:rPr>
        <w:t>не нормируются.</w:t>
      </w:r>
    </w:p>
    <w:p>
      <w:pPr>
        <w:pStyle w:val="Normal"/>
        <w:widowControl w:val="false"/>
        <w:tabs>
          <w:tab w:val="left" w:pos="1610" w:leader="none"/>
        </w:tabs>
        <w:jc w:val="both"/>
        <w:rPr>
          <w:b/>
          <w:b/>
        </w:rPr>
      </w:pPr>
      <w:r>
        <w:rPr>
          <w:b/>
        </w:rPr>
      </w:r>
    </w:p>
    <w:p>
      <w:pPr>
        <w:pStyle w:val="Normal"/>
        <w:widowControl w:val="false"/>
        <w:tabs>
          <w:tab w:val="left" w:pos="1610" w:leader="none"/>
        </w:tabs>
        <w:ind w:left="514" w:firstLine="720"/>
        <w:jc w:val="both"/>
        <w:rPr>
          <w:color w:val="000000"/>
        </w:rPr>
      </w:pPr>
      <w:r>
        <w:rPr>
          <w:color w:val="000000"/>
        </w:rPr>
      </w:r>
    </w:p>
    <w:p>
      <w:pPr>
        <w:pStyle w:val="Normal"/>
        <w:widowControl w:val="false"/>
        <w:tabs>
          <w:tab w:val="left" w:pos="1610" w:leader="none"/>
        </w:tabs>
        <w:ind w:left="514" w:firstLine="720"/>
        <w:jc w:val="both"/>
        <w:rPr/>
      </w:pPr>
      <w:r>
        <w:rPr>
          <w:b/>
          <w:color w:val="000000"/>
        </w:rPr>
        <w:t>Расчетные показатели максимально допустимого уровня территориальной доступности объектов культурного  наследия  местного (муниципального) значения  населения  муниципального образования «Боханский район».</w:t>
      </w:r>
    </w:p>
    <w:p>
      <w:pPr>
        <w:pStyle w:val="Normal"/>
        <w:widowControl w:val="false"/>
        <w:spacing w:lineRule="exact" w:line="285" w:before="75" w:after="0"/>
        <w:ind w:firstLine="720"/>
        <w:jc w:val="both"/>
        <w:rPr>
          <w:color w:val="000000"/>
        </w:rPr>
      </w:pPr>
      <w:r>
        <w:rPr>
          <w:color w:val="000000"/>
        </w:rPr>
        <w:t>Расчетные показатели максимально допустимого уровня территориальной доступности объектов культурного  наследия  местного (муниципального) значения не нормируются.</w:t>
      </w:r>
    </w:p>
    <w:p>
      <w:pPr>
        <w:pStyle w:val="Normal"/>
        <w:ind w:firstLine="709"/>
        <w:jc w:val="center"/>
        <w:rPr>
          <w:b/>
          <w:b/>
          <w:color w:val="000000"/>
        </w:rPr>
      </w:pPr>
      <w:r>
        <w:rPr>
          <w:b/>
          <w:color w:val="000000"/>
        </w:rPr>
      </w:r>
    </w:p>
    <w:p>
      <w:pPr>
        <w:pStyle w:val="Normal"/>
        <w:ind w:firstLine="709"/>
        <w:jc w:val="center"/>
        <w:rPr>
          <w:b/>
          <w:b/>
          <w:color w:val="000000"/>
        </w:rPr>
      </w:pPr>
      <w:r>
        <w:rPr>
          <w:b/>
          <w:color w:val="000000"/>
        </w:rPr>
        <w:t>Особо охраняемые природные территории местного значения.</w:t>
      </w:r>
    </w:p>
    <w:p>
      <w:pPr>
        <w:pStyle w:val="Normal"/>
        <w:ind w:firstLine="709"/>
        <w:jc w:val="both"/>
        <w:rPr>
          <w:color w:val="000000"/>
        </w:rPr>
      </w:pPr>
      <w:r>
        <w:rPr>
          <w:color w:val="000000"/>
        </w:rPr>
        <w:t>Категории, виды особо охраняемых природных территорий, а также режимы особой охраны определяются в соответствии с требованиями Федерального закона от 14.03.1995 № 33-ФЗ «Об особо охраняемых природных территориях». В отношении особо охраняемых природных территорий местного значения действует Закон Иркутской области «Об особо охраняемых природных территориях в Иркутской области», принятый постановлением Законодательного собрания Иркутской области от 28.05.2008 № 43/13а-3С (в ред. Закона Иркутской области от 30.06.2009 № 39/5-оз).</w:t>
      </w:r>
    </w:p>
    <w:p>
      <w:pPr>
        <w:pStyle w:val="Normal"/>
        <w:tabs>
          <w:tab w:val="left" w:pos="3544" w:leader="none"/>
        </w:tabs>
        <w:ind w:firstLine="709"/>
        <w:jc w:val="center"/>
        <w:rPr>
          <w:b/>
          <w:b/>
        </w:rPr>
      </w:pPr>
      <w:r>
        <w:rPr>
          <w:b/>
        </w:rPr>
      </w:r>
    </w:p>
    <w:p>
      <w:pPr>
        <w:pStyle w:val="Normal"/>
        <w:ind w:firstLine="709"/>
        <w:jc w:val="center"/>
        <w:rPr>
          <w:b/>
          <w:b/>
          <w:color w:val="000000"/>
        </w:rPr>
      </w:pPr>
      <w:r>
        <w:rPr>
          <w:b/>
        </w:rPr>
        <w:t xml:space="preserve">2.5.12. </w:t>
      </w:r>
      <w:r>
        <w:rPr>
          <w:b/>
          <w:color w:val="000000"/>
        </w:rPr>
        <w:t>Объекты, предназначенные для утилизации и переработки бытовых и промышленных отходов</w:t>
      </w:r>
    </w:p>
    <w:p>
      <w:pPr>
        <w:pStyle w:val="Normal"/>
        <w:ind w:firstLine="709"/>
        <w:jc w:val="center"/>
        <w:rPr>
          <w:b/>
          <w:b/>
          <w:color w:val="000000"/>
        </w:rPr>
      </w:pPr>
      <w:r>
        <w:rPr>
          <w:b/>
          <w:color w:val="000000"/>
        </w:rPr>
      </w:r>
    </w:p>
    <w:p>
      <w:pPr>
        <w:pStyle w:val="Normal"/>
        <w:ind w:firstLine="709"/>
        <w:jc w:val="center"/>
        <w:rPr>
          <w:b/>
          <w:b/>
          <w:color w:val="000000"/>
        </w:rPr>
      </w:pPr>
      <w:r>
        <w:rPr>
          <w:b/>
          <w:color w:val="000000"/>
        </w:rPr>
        <w:t>Зоны размещения специализированных организаций по обращению с радиоактивными отходами.</w:t>
      </w:r>
    </w:p>
    <w:p>
      <w:pPr>
        <w:pStyle w:val="Normal"/>
        <w:ind w:firstLine="709"/>
        <w:jc w:val="center"/>
        <w:rPr>
          <w:b/>
          <w:b/>
          <w:color w:val="000000"/>
        </w:rPr>
      </w:pPr>
      <w:r>
        <w:rPr>
          <w:b/>
          <w:color w:val="000000"/>
        </w:rPr>
      </w:r>
    </w:p>
    <w:p>
      <w:pPr>
        <w:pStyle w:val="Normal"/>
        <w:ind w:firstLine="709"/>
        <w:jc w:val="both"/>
        <w:rPr>
          <w:color w:val="000000"/>
        </w:rPr>
      </w:pPr>
      <w:r>
        <w:rPr>
          <w:color w:val="000000"/>
        </w:rPr>
        <w:t>Нормативные требования к размещению объектов по утилизации радиоактивных отходов установлены в соответствии с требованиями СП 2.6.6.1168-02 «Санитарные правила обращения с радиоактивными отходами» (СПОРО – 2002), НП 055-04 «Захоронение радиоактивных отходов. Принципы, критерии и основные требования безопасности», СП 2.6.1.2612-10 « Основные санитарные правила обеспечения радиационной безопасности» (ОСПОРБ 99/2010), СанПиН 2.6.1.2523-09 «Нормы радиационной безопасности» (НРБ-99/2009), ГОСТ Р 52037-2003, Федерального закона от 30.03.1999 № 52-ФЗ «О санитарно-эпидемиологическом благополучии населения», Федерального закона от 09.01.1996 № 3-ФЗ «О радиационной безопасности населения», Федерального закона от 11.07.2011 № 190-ФЗ «Об обращении с радиоактивными отходами и о внесении изменений в отдельные законодательные акты Российской Федерации», Федерального закона от 21.11.1995 № 170-ФЗ «Об использовании атомной энергии», Закона Российской Федерации от 21.02.1992 № 2395-1 «О недрах», Федерального закона от 10.01.2002 № 7-ФЗ « Об охране окружающей среды» и иных документов, регулирующих обращение с радиоактивными отходами.</w:t>
      </w:r>
    </w:p>
    <w:p>
      <w:pPr>
        <w:pStyle w:val="Footnotetext"/>
        <w:ind w:firstLine="709"/>
        <w:jc w:val="both"/>
        <w:rPr>
          <w:color w:val="000000"/>
          <w:sz w:val="24"/>
          <w:szCs w:val="24"/>
        </w:rPr>
      </w:pPr>
      <w:r>
        <w:rPr>
          <w:b/>
          <w:color w:val="000000"/>
          <w:sz w:val="24"/>
          <w:szCs w:val="24"/>
        </w:rPr>
        <w:t>Размещение полигонов твердых бытовых отходов.</w:t>
      </w:r>
    </w:p>
    <w:p>
      <w:pPr>
        <w:pStyle w:val="Footnotetext"/>
        <w:ind w:firstLine="709"/>
        <w:jc w:val="both"/>
        <w:rPr>
          <w:color w:val="000000"/>
          <w:sz w:val="24"/>
          <w:szCs w:val="24"/>
        </w:rPr>
      </w:pPr>
      <w:r>
        <w:rPr>
          <w:color w:val="000000"/>
          <w:sz w:val="24"/>
          <w:szCs w:val="24"/>
        </w:rPr>
        <w:t>Нормативные требования к размещению полигонов твердых бытовых отходов (ТБО) установлены в соответствии с требованиями Федерального закона от 24.06.1998 №89-ФЗ «Об отходах производства и потребления», СанПиН 2.1.7.1322-03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СП 2.1.7.1038-01 «Гигиенические требования к устройству и содержанию полигонов для твердых бытовых отходов», «Инструкции по проектированию, эксплуатации и рекультивации полигонов для твердых бытовых отходов», утвержденной Минстроем России от 02.11.1996.</w:t>
      </w:r>
    </w:p>
    <w:p>
      <w:pPr>
        <w:pStyle w:val="Footnotetext"/>
        <w:ind w:firstLine="709"/>
        <w:jc w:val="both"/>
        <w:rPr>
          <w:color w:val="000000"/>
          <w:sz w:val="24"/>
          <w:szCs w:val="24"/>
        </w:rPr>
      </w:pPr>
      <w:r>
        <w:rPr>
          <w:color w:val="000000"/>
          <w:sz w:val="24"/>
          <w:szCs w:val="24"/>
        </w:rPr>
        <w:t xml:space="preserve">Полигоны ТБО размещаются за пределами населенных пунктов, на обособленных территориях с обеспечением нормативных санитарно-защитных зон. </w:t>
      </w:r>
    </w:p>
    <w:p>
      <w:pPr>
        <w:pStyle w:val="Footnotetext"/>
        <w:ind w:firstLine="709"/>
        <w:jc w:val="both"/>
        <w:rPr>
          <w:color w:val="000000"/>
          <w:sz w:val="24"/>
          <w:szCs w:val="24"/>
        </w:rPr>
      </w:pPr>
      <w:r>
        <w:rPr>
          <w:color w:val="000000"/>
          <w:sz w:val="24"/>
          <w:szCs w:val="24"/>
        </w:rPr>
        <w:t xml:space="preserve">Размер санитарно-защитной зоны полигона составляет 500 м. Размер санитарно- защитной зоны должен быть уточнен расчетом рассеивания в атмосфере вредных выбросов с последующим  проведением  натурных  исследований  и  измерений.  Границы  зоны устанавливаются по изолинии 1 ПДК, если она выходит из пределов нормативной зоны. </w:t>
      </w:r>
    </w:p>
    <w:p>
      <w:pPr>
        <w:pStyle w:val="Footnotetext"/>
        <w:ind w:firstLine="709"/>
        <w:jc w:val="both"/>
        <w:rPr>
          <w:color w:val="000000"/>
          <w:sz w:val="24"/>
          <w:szCs w:val="24"/>
        </w:rPr>
      </w:pPr>
      <w:r>
        <w:rPr>
          <w:color w:val="000000"/>
          <w:sz w:val="24"/>
          <w:szCs w:val="24"/>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pPr>
        <w:pStyle w:val="Normal"/>
        <w:widowControl w:val="false"/>
        <w:spacing w:lineRule="exact" w:line="285"/>
        <w:ind w:right="-1" w:firstLine="709"/>
        <w:jc w:val="both"/>
        <w:rPr>
          <w:color w:val="000000"/>
        </w:rPr>
      </w:pPr>
      <w:r>
        <w:rPr>
          <w:color w:val="000000"/>
        </w:rPr>
        <w:t>Полигоны ТБО размещаются на участках, где выявлены глины или тяжелые суглинки, а грунтовые воды находятся на глубине более 2 м.</w:t>
      </w:r>
    </w:p>
    <w:p>
      <w:pPr>
        <w:pStyle w:val="Normal"/>
        <w:widowControl w:val="false"/>
        <w:spacing w:lineRule="exact" w:line="277"/>
        <w:ind w:right="-1" w:firstLine="709"/>
        <w:jc w:val="both"/>
        <w:rPr>
          <w:color w:val="000000"/>
        </w:rPr>
      </w:pPr>
      <w:r>
        <w:rPr>
          <w:color w:val="000000"/>
        </w:rPr>
        <w:t xml:space="preserve">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pPr>
        <w:pStyle w:val="Normal"/>
        <w:widowControl w:val="false"/>
        <w:spacing w:lineRule="exact" w:line="285"/>
        <w:ind w:right="-1" w:firstLine="720"/>
        <w:jc w:val="both"/>
        <w:rPr>
          <w:color w:val="000000"/>
        </w:rPr>
      </w:pPr>
      <w:r>
        <w:rPr>
          <w:color w:val="000000"/>
        </w:rPr>
        <w:t xml:space="preserve">Не допускается размещение полигонов: </w:t>
      </w:r>
    </w:p>
    <w:p>
      <w:pPr>
        <w:pStyle w:val="Normal"/>
        <w:widowControl w:val="false"/>
        <w:spacing w:lineRule="exact" w:line="280"/>
        <w:ind w:right="-1" w:hanging="0"/>
        <w:jc w:val="both"/>
        <w:rPr>
          <w:color w:val="000000"/>
        </w:rPr>
      </w:pPr>
      <w:r>
        <w:rPr>
          <w:color w:val="000000"/>
        </w:rPr>
        <w:t xml:space="preserve">- в зонах санитарной охраны источников питьевого водоснабжения в соответствии с требованиями СанПиН 2.1.4.1110-02; </w:t>
      </w:r>
    </w:p>
    <w:p>
      <w:pPr>
        <w:pStyle w:val="Normal"/>
        <w:widowControl w:val="false"/>
        <w:spacing w:lineRule="exact" w:line="285"/>
        <w:ind w:right="-1" w:hanging="0"/>
        <w:jc w:val="both"/>
        <w:rPr>
          <w:color w:val="000000"/>
        </w:rPr>
      </w:pPr>
      <w:r>
        <w:rPr>
          <w:color w:val="000000"/>
        </w:rPr>
        <w:t>- в зонах охраны лечебно-оздоровительных местностей;</w:t>
      </w:r>
    </w:p>
    <w:p>
      <w:pPr>
        <w:pStyle w:val="Normal"/>
        <w:widowControl w:val="false"/>
        <w:spacing w:lineRule="exact" w:line="285"/>
        <w:ind w:right="-1" w:hanging="0"/>
        <w:jc w:val="both"/>
        <w:rPr>
          <w:color w:val="000000"/>
        </w:rPr>
      </w:pPr>
      <w:r>
        <w:rPr>
          <w:color w:val="000000"/>
        </w:rPr>
        <w:t>- в местах выхода на поверхность трещиноватых пород;</w:t>
      </w:r>
    </w:p>
    <w:p>
      <w:pPr>
        <w:pStyle w:val="Normal"/>
        <w:widowControl w:val="false"/>
        <w:spacing w:lineRule="exact" w:line="285"/>
        <w:ind w:right="-1" w:hanging="0"/>
        <w:jc w:val="both"/>
        <w:rPr>
          <w:color w:val="000000"/>
        </w:rPr>
      </w:pPr>
      <w:r>
        <w:rPr>
          <w:color w:val="000000"/>
        </w:rPr>
        <w:t>- в местах выклинивания водоносных горизонтов;</w:t>
      </w:r>
    </w:p>
    <w:p>
      <w:pPr>
        <w:pStyle w:val="Normal"/>
        <w:widowControl w:val="false"/>
        <w:spacing w:lineRule="exact" w:line="285"/>
        <w:ind w:right="-1" w:hanging="0"/>
        <w:jc w:val="both"/>
        <w:rPr>
          <w:color w:val="000000"/>
        </w:rPr>
      </w:pPr>
      <w:r>
        <w:rPr>
          <w:color w:val="000000"/>
        </w:rPr>
        <w:t>-в местах массового отдыха населения и размещения оздоровительных учреждений.</w:t>
      </w:r>
    </w:p>
    <w:p>
      <w:pPr>
        <w:pStyle w:val="Footnotetext"/>
        <w:ind w:firstLine="567"/>
        <w:jc w:val="both"/>
        <w:rPr>
          <w:color w:val="000000"/>
          <w:sz w:val="24"/>
          <w:szCs w:val="24"/>
        </w:rPr>
      </w:pPr>
      <w:r>
        <w:rPr>
          <w:color w:val="000000"/>
          <w:sz w:val="24"/>
          <w:szCs w:val="24"/>
        </w:rPr>
        <w:t xml:space="preserve">Не используются под полигоны болота глубиной более 1 м и участки с выходами грунтовых вод в виде ключей.  </w:t>
      </w:r>
    </w:p>
    <w:p>
      <w:pPr>
        <w:pStyle w:val="Footnotetext"/>
        <w:ind w:firstLine="567"/>
        <w:jc w:val="both"/>
        <w:rPr>
          <w:color w:val="000000"/>
          <w:sz w:val="24"/>
          <w:szCs w:val="24"/>
        </w:rPr>
      </w:pPr>
      <w:r>
        <w:rPr>
          <w:color w:val="000000"/>
          <w:sz w:val="24"/>
          <w:szCs w:val="24"/>
        </w:rPr>
        <w:t xml:space="preserve">При  отводе  земельного  участка  определяется  срок  эксплуатации  полигона  и мероприятия  по  возвращению  отведенной  территории  в  состояние  пригодное  для хозяйственного использования (рекультивация). </w:t>
      </w:r>
    </w:p>
    <w:p>
      <w:pPr>
        <w:pStyle w:val="Footnotetext"/>
        <w:ind w:firstLine="567"/>
        <w:jc w:val="both"/>
        <w:rPr>
          <w:color w:val="000000"/>
          <w:sz w:val="24"/>
          <w:szCs w:val="24"/>
        </w:rPr>
      </w:pPr>
      <w:r>
        <w:rPr>
          <w:color w:val="000000"/>
          <w:sz w:val="24"/>
          <w:szCs w:val="24"/>
        </w:rPr>
        <w:t xml:space="preserve">Ориентировочное количество бытовых отходов определяется по расчету. </w:t>
      </w:r>
    </w:p>
    <w:p>
      <w:pPr>
        <w:pStyle w:val="Normal"/>
        <w:widowControl w:val="false"/>
        <w:spacing w:lineRule="exact" w:line="280"/>
        <w:ind w:right="-1" w:hanging="0"/>
        <w:jc w:val="center"/>
        <w:rPr>
          <w:b/>
          <w:b/>
          <w:color w:val="000000"/>
        </w:rPr>
      </w:pPr>
      <w:r>
        <w:rPr>
          <w:b/>
          <w:color w:val="000000"/>
        </w:rPr>
      </w:r>
    </w:p>
    <w:p>
      <w:pPr>
        <w:pStyle w:val="Normal"/>
        <w:widowControl w:val="false"/>
        <w:spacing w:lineRule="exact" w:line="280"/>
        <w:ind w:right="-1" w:hanging="0"/>
        <w:jc w:val="center"/>
        <w:rPr>
          <w:b/>
          <w:b/>
          <w:color w:val="000000"/>
        </w:rPr>
      </w:pPr>
      <w:r>
        <w:rPr>
          <w:b/>
          <w:color w:val="000000"/>
        </w:rPr>
        <w:t>Нормы накопления бытовых отходов</w:t>
      </w:r>
    </w:p>
    <w:p>
      <w:pPr>
        <w:pStyle w:val="Footnotetext"/>
        <w:rPr>
          <w:color w:val="000000"/>
        </w:rPr>
      </w:pPr>
      <w:r>
        <w:rPr>
          <w:color w:val="000000"/>
        </w:rPr>
        <w:t>Таблице 16</w:t>
      </w:r>
    </w:p>
    <w:tbl>
      <w:tblPr>
        <w:tblW w:w="957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5328"/>
        <w:gridCol w:w="2160"/>
        <w:gridCol w:w="2082"/>
      </w:tblGrid>
      <w:tr>
        <w:trPr/>
        <w:tc>
          <w:tcPr>
            <w:tcW w:w="5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Бытовые отходы</w:t>
            </w:r>
          </w:p>
        </w:tc>
        <w:tc>
          <w:tcPr>
            <w:tcW w:w="42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rPr>
                <w:color w:val="000000"/>
              </w:rPr>
            </w:pPr>
            <w:r>
              <w:rPr>
                <w:color w:val="000000"/>
              </w:rPr>
              <w:t xml:space="preserve">Количество бытовых отходов, чел./год </w:t>
            </w:r>
          </w:p>
        </w:tc>
      </w:tr>
      <w:tr>
        <w:trPr/>
        <w:tc>
          <w:tcPr>
            <w:tcW w:w="5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кг</w:t>
            </w:r>
          </w:p>
        </w:tc>
        <w:tc>
          <w:tcPr>
            <w:tcW w:w="2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jc w:val="center"/>
              <w:rPr>
                <w:color w:val="000000"/>
              </w:rPr>
            </w:pPr>
            <w:r>
              <w:rPr>
                <w:color w:val="000000"/>
              </w:rPr>
              <w:t>л</w:t>
            </w:r>
          </w:p>
        </w:tc>
      </w:tr>
      <w:tr>
        <w:trPr/>
        <w:tc>
          <w:tcPr>
            <w:tcW w:w="5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Твердые:</w:t>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r>
          </w:p>
        </w:tc>
        <w:tc>
          <w:tcPr>
            <w:tcW w:w="2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r>
          </w:p>
        </w:tc>
      </w:tr>
      <w:tr>
        <w:trPr/>
        <w:tc>
          <w:tcPr>
            <w:tcW w:w="5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от жилых зданий, оборудованных водопроводом, канализацией, центральным отоплением и газом</w:t>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190</w:t>
            </w:r>
          </w:p>
        </w:tc>
        <w:tc>
          <w:tcPr>
            <w:tcW w:w="2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jc w:val="center"/>
              <w:rPr>
                <w:color w:val="000000"/>
              </w:rPr>
            </w:pPr>
            <w:r>
              <w:rPr>
                <w:color w:val="000000"/>
              </w:rPr>
              <w:t>900</w:t>
            </w:r>
          </w:p>
        </w:tc>
      </w:tr>
      <w:tr>
        <w:trPr/>
        <w:tc>
          <w:tcPr>
            <w:tcW w:w="5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jc w:val="both"/>
              <w:rPr>
                <w:color w:val="000000"/>
              </w:rPr>
            </w:pPr>
            <w:r>
              <w:rPr>
                <w:color w:val="000000"/>
              </w:rPr>
              <w:t>от прочих жилых зданий</w:t>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300</w:t>
            </w:r>
          </w:p>
        </w:tc>
        <w:tc>
          <w:tcPr>
            <w:tcW w:w="2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jc w:val="center"/>
              <w:rPr>
                <w:color w:val="000000"/>
              </w:rPr>
            </w:pPr>
            <w:r>
              <w:rPr>
                <w:color w:val="000000"/>
              </w:rPr>
              <w:t>1100</w:t>
            </w:r>
          </w:p>
        </w:tc>
      </w:tr>
      <w:tr>
        <w:trPr/>
        <w:tc>
          <w:tcPr>
            <w:tcW w:w="5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jc w:val="both"/>
              <w:rPr>
                <w:color w:val="000000"/>
              </w:rPr>
            </w:pPr>
            <w:r>
              <w:rPr>
                <w:color w:val="000000"/>
              </w:rPr>
              <w:t>жидкие из выгребов (при отсутствии канализации)</w:t>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w:t>
            </w:r>
          </w:p>
        </w:tc>
        <w:tc>
          <w:tcPr>
            <w:tcW w:w="2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jc w:val="center"/>
              <w:rPr>
                <w:color w:val="000000"/>
              </w:rPr>
            </w:pPr>
            <w:r>
              <w:rPr>
                <w:color w:val="000000"/>
              </w:rPr>
              <w:t>2000</w:t>
            </w:r>
          </w:p>
        </w:tc>
      </w:tr>
    </w:tbl>
    <w:p>
      <w:pPr>
        <w:pStyle w:val="Normal"/>
        <w:widowControl w:val="false"/>
        <w:spacing w:lineRule="exact" w:line="270"/>
        <w:ind w:right="-1" w:hanging="0"/>
        <w:jc w:val="both"/>
        <w:rPr>
          <w:color w:val="000000"/>
        </w:rPr>
      </w:pPr>
      <w:r>
        <w:rPr>
          <w:color w:val="000000"/>
        </w:rPr>
      </w:r>
    </w:p>
    <w:p>
      <w:pPr>
        <w:pStyle w:val="Normal"/>
        <w:widowControl w:val="false"/>
        <w:spacing w:lineRule="exact" w:line="270"/>
        <w:ind w:right="-1" w:hanging="0"/>
        <w:jc w:val="center"/>
        <w:rPr>
          <w:color w:val="000000"/>
        </w:rPr>
      </w:pPr>
      <w:r>
        <w:rPr>
          <w:b/>
          <w:color w:val="000000"/>
        </w:rPr>
        <w:t>Размеры земельных участков и санитарно-защитных зон предприятий и сооружений по обслуживанию, транспортировке и переработке бытовых отходов</w:t>
      </w:r>
      <w:r>
        <w:rPr>
          <w:color w:val="000000"/>
        </w:rPr>
        <w:t xml:space="preserve"> </w:t>
      </w:r>
    </w:p>
    <w:p>
      <w:pPr>
        <w:pStyle w:val="Normal"/>
        <w:widowControl w:val="false"/>
        <w:spacing w:lineRule="exact" w:line="270"/>
        <w:ind w:right="-1" w:hanging="0"/>
        <w:jc w:val="right"/>
        <w:rPr>
          <w:color w:val="000000"/>
        </w:rPr>
      </w:pPr>
      <w:r>
        <w:rPr>
          <w:color w:val="000000"/>
        </w:rPr>
        <w:t>Таблице 17</w:t>
      </w:r>
    </w:p>
    <w:tbl>
      <w:tblPr>
        <w:tblW w:w="957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3190"/>
        <w:gridCol w:w="3190"/>
        <w:gridCol w:w="3190"/>
      </w:tblGrid>
      <w:tr>
        <w:trPr>
          <w:trHeight w:val="700" w:hRule="atLeast"/>
        </w:trPr>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rPr>
                <w:color w:val="000000"/>
              </w:rPr>
            </w:pPr>
            <w:r>
              <w:rPr>
                <w:color w:val="000000"/>
              </w:rPr>
              <w:t>Предприятие и сооружения</w:t>
            </w:r>
          </w:p>
        </w:tc>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rPr>
                <w:color w:val="000000"/>
              </w:rPr>
            </w:pPr>
            <w:r>
              <w:rPr>
                <w:color w:val="000000"/>
              </w:rPr>
              <w:t>Площади земельных участков на 1000т бытовых отходов, га</w:t>
            </w:r>
          </w:p>
        </w:tc>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rPr>
                <w:color w:val="000000"/>
              </w:rPr>
            </w:pPr>
            <w:r>
              <w:rPr>
                <w:color w:val="000000"/>
              </w:rPr>
              <w:t>Размеры санитарно-защитных зон, м</w:t>
            </w:r>
          </w:p>
        </w:tc>
      </w:tr>
      <w:tr>
        <w:trPr/>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rPr>
                <w:color w:val="000000"/>
              </w:rPr>
            </w:pPr>
            <w:r>
              <w:rPr>
                <w:color w:val="000000"/>
              </w:rPr>
              <w:t>Полигоны</w:t>
            </w:r>
          </w:p>
        </w:tc>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jc w:val="center"/>
              <w:rPr>
                <w:color w:val="000000"/>
              </w:rPr>
            </w:pPr>
            <w:r>
              <w:rPr>
                <w:color w:val="000000"/>
              </w:rPr>
              <w:t>0,04</w:t>
            </w:r>
          </w:p>
        </w:tc>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jc w:val="center"/>
              <w:rPr>
                <w:color w:val="000000"/>
              </w:rPr>
            </w:pPr>
            <w:r>
              <w:rPr>
                <w:color w:val="000000"/>
              </w:rPr>
              <w:t>500</w:t>
            </w:r>
          </w:p>
        </w:tc>
      </w:tr>
      <w:tr>
        <w:trPr/>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rPr>
                <w:color w:val="000000"/>
              </w:rPr>
            </w:pPr>
            <w:r>
              <w:rPr>
                <w:color w:val="000000"/>
              </w:rPr>
              <w:t>Сливные станции</w:t>
            </w:r>
          </w:p>
        </w:tc>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jc w:val="center"/>
              <w:rPr>
                <w:color w:val="000000"/>
              </w:rPr>
            </w:pPr>
            <w:r>
              <w:rPr>
                <w:color w:val="000000"/>
              </w:rPr>
              <w:t>0,02</w:t>
            </w:r>
          </w:p>
        </w:tc>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jc w:val="center"/>
              <w:rPr>
                <w:color w:val="000000"/>
              </w:rPr>
            </w:pPr>
            <w:r>
              <w:rPr>
                <w:color w:val="000000"/>
              </w:rPr>
              <w:t>300</w:t>
            </w:r>
          </w:p>
        </w:tc>
      </w:tr>
    </w:tbl>
    <w:p>
      <w:pPr>
        <w:pStyle w:val="Footnotetext"/>
        <w:rPr>
          <w:color w:val="000000"/>
        </w:rPr>
      </w:pPr>
      <w:r>
        <w:rPr>
          <w:color w:val="000000"/>
        </w:rPr>
      </w:r>
    </w:p>
    <w:p>
      <w:pPr>
        <w:pStyle w:val="Footnotetext"/>
        <w:ind w:firstLine="851"/>
        <w:jc w:val="both"/>
        <w:rPr>
          <w:color w:val="000000"/>
          <w:sz w:val="24"/>
          <w:szCs w:val="24"/>
        </w:rPr>
      </w:pPr>
      <w:r>
        <w:rPr>
          <w:color w:val="000000"/>
          <w:sz w:val="24"/>
          <w:szCs w:val="24"/>
        </w:rPr>
        <w:t xml:space="preserve">Нормативные требования к объектам размещения отходов производства установлены в соответствии с требованиями СанПиН 2.1.7.1322-03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СНиП 2.01.28-85 «Полигоны по обезвреживанию и захоронению токсичных промышленных отходов». </w:t>
      </w:r>
    </w:p>
    <w:p>
      <w:pPr>
        <w:pStyle w:val="Footnotetext"/>
        <w:ind w:firstLine="851"/>
        <w:jc w:val="both"/>
        <w:rPr>
          <w:color w:val="000000"/>
          <w:sz w:val="24"/>
          <w:szCs w:val="24"/>
        </w:rPr>
      </w:pPr>
      <w:r>
        <w:rPr>
          <w:color w:val="000000"/>
          <w:sz w:val="24"/>
          <w:szCs w:val="24"/>
        </w:rPr>
        <w:t xml:space="preserve">Объекты для утилизации отходов производства предназначены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 </w:t>
      </w:r>
    </w:p>
    <w:p>
      <w:pPr>
        <w:pStyle w:val="Footnotetext"/>
        <w:ind w:firstLine="851"/>
        <w:jc w:val="both"/>
        <w:rPr>
          <w:color w:val="000000"/>
          <w:sz w:val="24"/>
          <w:szCs w:val="24"/>
        </w:rPr>
      </w:pPr>
      <w:r>
        <w:rPr>
          <w:color w:val="000000"/>
          <w:sz w:val="24"/>
          <w:szCs w:val="24"/>
        </w:rPr>
        <w:t xml:space="preserve">Объекты для утилизации отходов производства следует размещать за пределами жилой  зоны  и  на  обособленных  территориях  с  обеспечением  нормативных  санитарно- защитных зон. </w:t>
      </w:r>
    </w:p>
    <w:p>
      <w:pPr>
        <w:pStyle w:val="Footnotetext"/>
        <w:ind w:firstLine="851"/>
        <w:jc w:val="both"/>
        <w:rPr>
          <w:color w:val="000000"/>
          <w:sz w:val="24"/>
          <w:szCs w:val="24"/>
        </w:rPr>
      </w:pPr>
      <w:r>
        <w:rPr>
          <w:color w:val="000000"/>
          <w:sz w:val="24"/>
          <w:szCs w:val="24"/>
        </w:rPr>
        <w:t xml:space="preserve">Размещение объектов для утилизации отходов производства не допускается: </w:t>
      </w:r>
    </w:p>
    <w:p>
      <w:pPr>
        <w:pStyle w:val="Normal"/>
        <w:widowControl w:val="false"/>
        <w:spacing w:lineRule="exact" w:line="300"/>
        <w:ind w:left="566" w:right="-1" w:hanging="0"/>
        <w:jc w:val="both"/>
        <w:rPr>
          <w:color w:val="000000"/>
        </w:rPr>
      </w:pPr>
      <w:r>
        <w:rPr>
          <w:color w:val="000000"/>
        </w:rPr>
        <w:t xml:space="preserve">- в зонах санитарной охраны источников питьевого водоснабжения в соответствии с </w:t>
      </w:r>
    </w:p>
    <w:p>
      <w:pPr>
        <w:pStyle w:val="Normal"/>
        <w:widowControl w:val="false"/>
        <w:spacing w:lineRule="exact" w:line="285"/>
        <w:ind w:right="-1" w:hanging="0"/>
        <w:jc w:val="both"/>
        <w:rPr>
          <w:color w:val="000000"/>
        </w:rPr>
      </w:pPr>
      <w:r>
        <w:rPr>
          <w:color w:val="000000"/>
        </w:rPr>
        <w:t xml:space="preserve">требованиями СанПиН 2.1.4.1110-02; </w:t>
      </w:r>
    </w:p>
    <w:p>
      <w:pPr>
        <w:pStyle w:val="Normal"/>
        <w:widowControl w:val="false"/>
        <w:spacing w:lineRule="exact" w:line="300"/>
        <w:ind w:left="566" w:right="-1" w:hanging="0"/>
        <w:jc w:val="both"/>
        <w:rPr>
          <w:color w:val="000000"/>
        </w:rPr>
      </w:pPr>
      <w:r>
        <w:rPr>
          <w:color w:val="000000"/>
        </w:rPr>
        <w:t xml:space="preserve">- в зонах охраны лечебно-оздоровительных местностей; </w:t>
      </w:r>
    </w:p>
    <w:p>
      <w:pPr>
        <w:pStyle w:val="Normal"/>
        <w:widowControl w:val="false"/>
        <w:spacing w:lineRule="exact" w:line="300"/>
        <w:ind w:left="566" w:right="-1" w:hanging="0"/>
        <w:jc w:val="both"/>
        <w:rPr>
          <w:color w:val="000000"/>
        </w:rPr>
      </w:pPr>
      <w:r>
        <w:rPr>
          <w:color w:val="000000"/>
        </w:rPr>
        <w:t>- в  зонах  массового  загородного  отдыха  населения  и  на  территории  лечебно-</w:t>
      </w:r>
    </w:p>
    <w:p>
      <w:pPr>
        <w:pStyle w:val="Normal"/>
        <w:widowControl w:val="false"/>
        <w:spacing w:lineRule="exact" w:line="285"/>
        <w:ind w:right="-1" w:hanging="0"/>
        <w:jc w:val="both"/>
        <w:rPr>
          <w:color w:val="000000"/>
        </w:rPr>
      </w:pPr>
      <w:r>
        <w:rPr>
          <w:color w:val="000000"/>
        </w:rPr>
        <w:t xml:space="preserve">оздоровительных учреждений; </w:t>
      </w:r>
    </w:p>
    <w:p>
      <w:pPr>
        <w:pStyle w:val="Normal"/>
        <w:widowControl w:val="false"/>
        <w:spacing w:lineRule="exact" w:line="300"/>
        <w:ind w:left="566" w:right="-1" w:hanging="0"/>
        <w:jc w:val="both"/>
        <w:rPr>
          <w:color w:val="000000"/>
        </w:rPr>
      </w:pPr>
      <w:r>
        <w:rPr>
          <w:color w:val="000000"/>
        </w:rPr>
        <w:t xml:space="preserve">- в рекреационных зонах; </w:t>
      </w:r>
    </w:p>
    <w:p>
      <w:pPr>
        <w:pStyle w:val="Normal"/>
        <w:widowControl w:val="false"/>
        <w:spacing w:lineRule="exact" w:line="300"/>
        <w:ind w:left="566" w:right="-1" w:hanging="0"/>
        <w:jc w:val="both"/>
        <w:rPr>
          <w:color w:val="000000"/>
        </w:rPr>
      </w:pPr>
      <w:r>
        <w:rPr>
          <w:color w:val="000000"/>
        </w:rPr>
        <w:t xml:space="preserve">- в местах выклинивания водоносных горизонтов; </w:t>
      </w:r>
    </w:p>
    <w:p>
      <w:pPr>
        <w:pStyle w:val="Normal"/>
        <w:widowControl w:val="false"/>
        <w:spacing w:lineRule="exact" w:line="300"/>
        <w:ind w:left="566" w:right="-1" w:hanging="0"/>
        <w:jc w:val="both"/>
        <w:rPr>
          <w:color w:val="000000"/>
        </w:rPr>
      </w:pPr>
      <w:r>
        <w:rPr>
          <w:color w:val="000000"/>
        </w:rPr>
        <w:t xml:space="preserve">- на заболачиваемых и подтопляемых территориях. </w:t>
      </w:r>
    </w:p>
    <w:p>
      <w:pPr>
        <w:pStyle w:val="Normal"/>
        <w:widowControl w:val="false"/>
        <w:spacing w:lineRule="exact" w:line="300"/>
        <w:ind w:left="566" w:right="-1" w:hanging="0"/>
        <w:jc w:val="both"/>
        <w:rPr>
          <w:color w:val="000000"/>
        </w:rPr>
      </w:pPr>
      <w:r>
        <w:rPr>
          <w:color w:val="000000"/>
        </w:rPr>
        <w:t xml:space="preserve">- в границах установленных водоохранных зон водоемов и водотоков. </w:t>
      </w:r>
    </w:p>
    <w:p>
      <w:pPr>
        <w:pStyle w:val="Normal"/>
        <w:widowControl w:val="false"/>
        <w:spacing w:lineRule="exact" w:line="280"/>
        <w:ind w:right="-1" w:firstLine="720"/>
        <w:jc w:val="both"/>
        <w:rPr>
          <w:color w:val="000000"/>
        </w:rPr>
      </w:pPr>
      <w:r>
        <w:rPr>
          <w:color w:val="000000"/>
        </w:rPr>
        <w:t xml:space="preserve">Полигоны  по  обезвреживанию  и  захоронению  токсичных  промышленных  отходов также не допускается размещать: </w:t>
      </w:r>
    </w:p>
    <w:p>
      <w:pPr>
        <w:pStyle w:val="Normal"/>
        <w:widowControl w:val="false"/>
        <w:spacing w:lineRule="exact" w:line="300"/>
        <w:ind w:left="566" w:right="-1" w:hanging="0"/>
        <w:jc w:val="both"/>
        <w:rPr>
          <w:color w:val="000000"/>
        </w:rPr>
      </w:pPr>
      <w:r>
        <w:rPr>
          <w:color w:val="000000"/>
        </w:rPr>
        <w:t xml:space="preserve">- на площадях залегания полезных ископаемых без разрешения федерального органа </w:t>
      </w:r>
    </w:p>
    <w:p>
      <w:pPr>
        <w:pStyle w:val="Normal"/>
        <w:widowControl w:val="false"/>
        <w:spacing w:lineRule="exact" w:line="285"/>
        <w:ind w:right="-1" w:hanging="0"/>
        <w:jc w:val="both"/>
        <w:rPr>
          <w:color w:val="000000"/>
        </w:rPr>
      </w:pPr>
      <w:r>
        <w:rPr>
          <w:color w:val="000000"/>
        </w:rPr>
        <w:t xml:space="preserve">управления государственным фондом недр или его территориальных органов; </w:t>
      </w:r>
    </w:p>
    <w:p>
      <w:pPr>
        <w:pStyle w:val="Normal"/>
        <w:widowControl w:val="false"/>
        <w:spacing w:lineRule="exact" w:line="300"/>
        <w:ind w:left="566" w:right="-1" w:hanging="0"/>
        <w:jc w:val="both"/>
        <w:rPr>
          <w:color w:val="000000"/>
        </w:rPr>
      </w:pPr>
      <w:r>
        <w:rPr>
          <w:color w:val="000000"/>
        </w:rPr>
        <w:t xml:space="preserve">- в зонах активного карста; </w:t>
      </w:r>
    </w:p>
    <w:p>
      <w:pPr>
        <w:pStyle w:val="Normal"/>
        <w:widowControl w:val="false"/>
        <w:spacing w:lineRule="exact" w:line="300"/>
        <w:ind w:left="566" w:right="-1" w:hanging="0"/>
        <w:jc w:val="both"/>
        <w:rPr>
          <w:color w:val="000000"/>
        </w:rPr>
      </w:pPr>
      <w:r>
        <w:rPr>
          <w:color w:val="000000"/>
        </w:rPr>
        <w:t xml:space="preserve">- в зонах оползней; </w:t>
      </w:r>
    </w:p>
    <w:p>
      <w:pPr>
        <w:pStyle w:val="Normal"/>
        <w:widowControl w:val="false"/>
        <w:spacing w:lineRule="exact" w:line="300"/>
        <w:ind w:left="566" w:right="-1" w:hanging="0"/>
        <w:jc w:val="both"/>
        <w:rPr>
          <w:color w:val="000000"/>
        </w:rPr>
      </w:pPr>
      <w:r>
        <w:rPr>
          <w:color w:val="000000"/>
        </w:rPr>
        <w:t xml:space="preserve">- в зоне питания подземных источников питьевой воды; </w:t>
      </w:r>
    </w:p>
    <w:p>
      <w:pPr>
        <w:pStyle w:val="Normal"/>
        <w:widowControl w:val="false"/>
        <w:spacing w:lineRule="exact" w:line="300"/>
        <w:ind w:left="566" w:right="-1" w:hanging="0"/>
        <w:jc w:val="both"/>
        <w:rPr>
          <w:color w:val="000000"/>
        </w:rPr>
      </w:pPr>
      <w:r>
        <w:rPr>
          <w:color w:val="000000"/>
        </w:rPr>
        <w:t xml:space="preserve">- на территориях пригородных и рекреационных зон; </w:t>
      </w:r>
    </w:p>
    <w:p>
      <w:pPr>
        <w:pStyle w:val="Normal"/>
        <w:widowControl w:val="false"/>
        <w:spacing w:lineRule="exact" w:line="300"/>
        <w:ind w:left="566" w:right="-1" w:hanging="0"/>
        <w:jc w:val="both"/>
        <w:rPr>
          <w:color w:val="000000"/>
        </w:rPr>
      </w:pPr>
      <w:r>
        <w:rPr>
          <w:color w:val="000000"/>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w:t>
      </w:r>
    </w:p>
    <w:p>
      <w:pPr>
        <w:pStyle w:val="Footnotetext"/>
        <w:ind w:firstLine="709"/>
        <w:jc w:val="both"/>
        <w:rPr>
          <w:color w:val="000000"/>
          <w:sz w:val="24"/>
          <w:szCs w:val="24"/>
        </w:rPr>
      </w:pPr>
      <w:r>
        <w:rPr>
          <w:color w:val="000000"/>
          <w:sz w:val="24"/>
          <w:szCs w:val="24"/>
        </w:rPr>
        <w:t xml:space="preserve">- на участках, загрязненных органическими и радиоактивными отходами, до истечения сроков, установленных органами службы Роспотребнадзора. </w:t>
      </w:r>
    </w:p>
    <w:p>
      <w:pPr>
        <w:pStyle w:val="Normal"/>
        <w:widowControl w:val="false"/>
        <w:tabs>
          <w:tab w:val="left" w:pos="0" w:leader="none"/>
        </w:tabs>
        <w:spacing w:lineRule="exact" w:line="280"/>
        <w:ind w:right="-1" w:firstLine="709"/>
        <w:jc w:val="both"/>
        <w:rPr>
          <w:color w:val="000000"/>
        </w:rPr>
      </w:pPr>
      <w:r>
        <w:rPr>
          <w:color w:val="000000"/>
        </w:rPr>
        <w:t xml:space="preserve"> </w:t>
      </w:r>
      <w:r>
        <w:rPr>
          <w:color w:val="000000"/>
        </w:rPr>
        <w:t xml:space="preserve">Полигоны по обезвреживанию и захоронению токсичных промышленных отходов следует проектировать: </w:t>
      </w:r>
    </w:p>
    <w:p>
      <w:pPr>
        <w:pStyle w:val="Footnotetext"/>
        <w:ind w:firstLine="709"/>
        <w:jc w:val="both"/>
        <w:rPr>
          <w:color w:val="000000"/>
          <w:sz w:val="24"/>
          <w:szCs w:val="24"/>
        </w:rPr>
      </w:pPr>
      <w:r>
        <w:rPr>
          <w:color w:val="000000"/>
          <w:sz w:val="24"/>
          <w:szCs w:val="24"/>
        </w:rPr>
        <w:t xml:space="preserve">- с подветренной стороны (для ветров преобладающего направления) по отношению к территории населенных пунктов; </w:t>
      </w:r>
    </w:p>
    <w:p>
      <w:pPr>
        <w:pStyle w:val="Footnotetext"/>
        <w:ind w:firstLine="709"/>
        <w:jc w:val="both"/>
        <w:rPr>
          <w:color w:val="000000"/>
          <w:sz w:val="24"/>
          <w:szCs w:val="24"/>
        </w:rPr>
      </w:pPr>
      <w:r>
        <w:rPr>
          <w:color w:val="000000"/>
          <w:sz w:val="24"/>
          <w:szCs w:val="24"/>
        </w:rPr>
        <w:t xml:space="preserve">- на  площадках,  на  которых  возможно  осуществление  мероприятий  и  инженерных решений, исключающих загрязнение окружающей среды; </w:t>
      </w:r>
    </w:p>
    <w:p>
      <w:pPr>
        <w:pStyle w:val="Normal"/>
        <w:widowControl w:val="false"/>
        <w:spacing w:lineRule="exact" w:line="300"/>
        <w:ind w:right="-1" w:firstLine="566"/>
        <w:jc w:val="both"/>
        <w:rPr>
          <w:color w:val="000000"/>
        </w:rPr>
      </w:pPr>
      <w:r>
        <w:rPr>
          <w:color w:val="000000"/>
        </w:rPr>
        <w:t xml:space="preserve">-  ниже мест водозаборов питьевой воды, рыбоводных хозяйств; </w:t>
      </w:r>
    </w:p>
    <w:p>
      <w:pPr>
        <w:pStyle w:val="Normal"/>
        <w:widowControl w:val="false"/>
        <w:spacing w:lineRule="exact" w:line="300"/>
        <w:ind w:right="-1" w:firstLine="566"/>
        <w:jc w:val="both"/>
        <w:rPr>
          <w:color w:val="000000"/>
        </w:rPr>
      </w:pPr>
      <w:r>
        <w:rPr>
          <w:color w:val="000000"/>
        </w:rPr>
        <w:t xml:space="preserve">- на  землях  несельскохозяйственного  назначения  или  непригодных  для  сельского </w:t>
      </w:r>
    </w:p>
    <w:p>
      <w:pPr>
        <w:pStyle w:val="Normal"/>
        <w:widowControl w:val="false"/>
        <w:spacing w:lineRule="exact" w:line="285"/>
        <w:ind w:right="-1" w:hanging="0"/>
        <w:jc w:val="both"/>
        <w:rPr>
          <w:color w:val="000000"/>
        </w:rPr>
      </w:pPr>
      <w:r>
        <w:rPr>
          <w:color w:val="000000"/>
        </w:rPr>
        <w:t xml:space="preserve">хозяйства либо на сельскохозяйственных землях худшего качества; </w:t>
      </w:r>
    </w:p>
    <w:p>
      <w:pPr>
        <w:pStyle w:val="Normal"/>
        <w:widowControl w:val="false"/>
        <w:spacing w:lineRule="exact" w:line="300"/>
        <w:ind w:right="-1" w:firstLine="566"/>
        <w:jc w:val="both"/>
        <w:rPr>
          <w:color w:val="000000"/>
        </w:rPr>
      </w:pPr>
      <w:r>
        <w:rPr>
          <w:color w:val="000000"/>
        </w:rPr>
        <w:t>- в  соответствии  с  гидрогеологическими  условиями  на  участках  со  слабо-</w:t>
      </w:r>
    </w:p>
    <w:p>
      <w:pPr>
        <w:pStyle w:val="Normal"/>
        <w:widowControl w:val="false"/>
        <w:spacing w:lineRule="exact" w:line="280"/>
        <w:ind w:right="-1" w:hanging="0"/>
        <w:jc w:val="both"/>
        <w:rPr>
          <w:color w:val="000000"/>
        </w:rPr>
      </w:pPr>
      <w:r>
        <w:rPr>
          <w:color w:val="000000"/>
        </w:rPr>
        <w:t xml:space="preserve">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 </w:t>
      </w:r>
    </w:p>
    <w:p>
      <w:pPr>
        <w:pStyle w:val="Footnotetext"/>
        <w:ind w:firstLine="709"/>
        <w:jc w:val="both"/>
        <w:rPr>
          <w:color w:val="000000"/>
          <w:sz w:val="24"/>
          <w:szCs w:val="24"/>
        </w:rPr>
      </w:pPr>
      <w:r>
        <w:rPr>
          <w:color w:val="000000"/>
          <w:sz w:val="24"/>
          <w:szCs w:val="24"/>
        </w:rPr>
        <w:t xml:space="preserve">Участок для размещения полигона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 </w:t>
      </w:r>
    </w:p>
    <w:p>
      <w:pPr>
        <w:pStyle w:val="Footnotetext"/>
        <w:ind w:firstLine="709"/>
        <w:jc w:val="both"/>
        <w:rPr>
          <w:color w:val="000000"/>
          <w:sz w:val="24"/>
          <w:szCs w:val="24"/>
        </w:rPr>
      </w:pPr>
      <w:r>
        <w:rPr>
          <w:color w:val="000000"/>
          <w:sz w:val="24"/>
          <w:szCs w:val="24"/>
        </w:rPr>
        <w:t xml:space="preserve">Устройство  полигонов  на  просадочных  грунтах  допускается  при  условии  полного устранения просадочных свойств грунтов. </w:t>
      </w:r>
    </w:p>
    <w:p>
      <w:pPr>
        <w:pStyle w:val="Footnotetext"/>
        <w:ind w:firstLine="709"/>
        <w:jc w:val="both"/>
        <w:rPr>
          <w:color w:val="000000"/>
          <w:sz w:val="24"/>
          <w:szCs w:val="24"/>
        </w:rPr>
      </w:pPr>
      <w:r>
        <w:rPr>
          <w:color w:val="000000"/>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с последующей возможностью использования отходов.</w:t>
      </w:r>
    </w:p>
    <w:p>
      <w:pPr>
        <w:pStyle w:val="Footnotetext"/>
        <w:ind w:firstLine="709"/>
        <w:jc w:val="both"/>
        <w:rPr>
          <w:color w:val="000000"/>
          <w:sz w:val="24"/>
          <w:szCs w:val="24"/>
        </w:rPr>
      </w:pPr>
      <w:r>
        <w:rPr>
          <w:color w:val="000000"/>
          <w:sz w:val="24"/>
          <w:szCs w:val="24"/>
        </w:rPr>
        <w:t xml:space="preserve">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w:t>
      </w:r>
    </w:p>
    <w:p>
      <w:pPr>
        <w:pStyle w:val="Normal"/>
        <w:tabs>
          <w:tab w:val="left" w:pos="3544" w:leader="none"/>
        </w:tabs>
        <w:ind w:firstLine="709"/>
        <w:jc w:val="center"/>
        <w:rPr>
          <w:color w:val="000000"/>
        </w:rPr>
      </w:pPr>
      <w:r>
        <w:rPr>
          <w:color w:val="000000"/>
        </w:rPr>
      </w:r>
    </w:p>
    <w:p>
      <w:pPr>
        <w:pStyle w:val="Normal"/>
        <w:ind w:firstLine="709"/>
        <w:jc w:val="center"/>
        <w:rPr>
          <w:b/>
          <w:b/>
          <w:color w:val="000000"/>
        </w:rPr>
      </w:pPr>
      <w:r>
        <w:rPr>
          <w:b/>
        </w:rPr>
        <w:t xml:space="preserve">2.5.13. </w:t>
      </w:r>
      <w:r>
        <w:rPr>
          <w:b/>
          <w:color w:val="000000"/>
        </w:rPr>
        <w:t>Зоны размещения скотомогильников</w:t>
      </w:r>
    </w:p>
    <w:p>
      <w:pPr>
        <w:pStyle w:val="Footnotetext"/>
        <w:ind w:firstLine="709"/>
        <w:jc w:val="both"/>
        <w:rPr>
          <w:color w:val="000000"/>
          <w:sz w:val="24"/>
          <w:szCs w:val="24"/>
        </w:rPr>
      </w:pPr>
      <w:r>
        <w:rPr>
          <w:color w:val="000000"/>
          <w:sz w:val="24"/>
          <w:szCs w:val="24"/>
        </w:rPr>
        <w:t xml:space="preserve">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 </w:t>
      </w:r>
    </w:p>
    <w:p>
      <w:pPr>
        <w:pStyle w:val="Footnotetext"/>
        <w:ind w:firstLine="709"/>
        <w:jc w:val="both"/>
        <w:rPr>
          <w:color w:val="000000"/>
          <w:sz w:val="24"/>
          <w:szCs w:val="24"/>
        </w:rPr>
      </w:pPr>
      <w:r>
        <w:rPr>
          <w:color w:val="000000"/>
          <w:sz w:val="24"/>
          <w:szCs w:val="24"/>
        </w:rPr>
        <w:t xml:space="preserve">Скотомогильники  (биотермические  ямы)  предназначены  для  обеззараживания, уничтожения сжиганием или захоронения биологических отходов. </w:t>
      </w:r>
    </w:p>
    <w:p>
      <w:pPr>
        <w:pStyle w:val="Footnotetext"/>
        <w:ind w:firstLine="709"/>
        <w:jc w:val="both"/>
        <w:rPr>
          <w:color w:val="000000"/>
          <w:sz w:val="24"/>
          <w:szCs w:val="24"/>
        </w:rPr>
      </w:pPr>
      <w:r>
        <w:rPr>
          <w:color w:val="000000"/>
          <w:sz w:val="24"/>
          <w:szCs w:val="24"/>
        </w:rPr>
        <w:t xml:space="preserve">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санитарно-эпидемиологического надзора. </w:t>
      </w:r>
    </w:p>
    <w:p>
      <w:pPr>
        <w:pStyle w:val="Footnotetext"/>
        <w:ind w:firstLine="709"/>
        <w:jc w:val="both"/>
        <w:rPr>
          <w:color w:val="000000"/>
          <w:sz w:val="24"/>
          <w:szCs w:val="24"/>
        </w:rPr>
      </w:pPr>
      <w:r>
        <w:rPr>
          <w:color w:val="000000"/>
          <w:sz w:val="24"/>
          <w:szCs w:val="24"/>
        </w:rPr>
        <w:t xml:space="preserve">Скотомогильники  (биотермические  ямы)  размещают  на  сухом  возвышенном участке земли площадью не менее 600 м2 . Уровень стояния грунтовых вод должен быть не менее 2 м от поверхности земли. </w:t>
      </w:r>
    </w:p>
    <w:p>
      <w:pPr>
        <w:pStyle w:val="Footnotetext"/>
        <w:ind w:firstLine="709"/>
        <w:jc w:val="both"/>
        <w:rPr>
          <w:color w:val="000000"/>
          <w:sz w:val="24"/>
          <w:szCs w:val="24"/>
        </w:rPr>
      </w:pPr>
      <w:r>
        <w:rPr>
          <w:color w:val="000000"/>
          <w:sz w:val="24"/>
          <w:szCs w:val="24"/>
        </w:rPr>
        <w:t xml:space="preserve">Размер  санитарно-защитной  зоны  следует  принимать  в  соответствии  с требованиями  СанПиН 2.2.1/2.1.1.1200-03, при этом ориентировочный размер санитарно- защитной зоны составляет, м: </w:t>
      </w:r>
    </w:p>
    <w:p>
      <w:pPr>
        <w:pStyle w:val="Footnotetext"/>
        <w:ind w:firstLine="709"/>
        <w:jc w:val="both"/>
        <w:rPr>
          <w:color w:val="000000"/>
          <w:sz w:val="24"/>
          <w:szCs w:val="24"/>
        </w:rPr>
      </w:pPr>
      <w:r>
        <w:rPr>
          <w:color w:val="000000"/>
          <w:sz w:val="24"/>
          <w:szCs w:val="24"/>
        </w:rPr>
        <w:t xml:space="preserve"> </w:t>
      </w:r>
      <w:r>
        <w:rPr>
          <w:color w:val="000000"/>
          <w:sz w:val="24"/>
          <w:szCs w:val="24"/>
        </w:rPr>
        <w:t>- скотомогильники с захоронением в ямах – 1000 м;</w:t>
      </w:r>
    </w:p>
    <w:p>
      <w:pPr>
        <w:pStyle w:val="Footnotetext"/>
        <w:ind w:firstLine="709"/>
        <w:jc w:val="both"/>
        <w:rPr>
          <w:color w:val="000000"/>
          <w:sz w:val="24"/>
          <w:szCs w:val="24"/>
        </w:rPr>
      </w:pPr>
      <w:r>
        <w:rPr>
          <w:color w:val="000000"/>
          <w:sz w:val="24"/>
          <w:szCs w:val="24"/>
        </w:rPr>
        <w:t xml:space="preserve"> </w:t>
      </w:r>
      <w:r>
        <w:rPr>
          <w:color w:val="000000"/>
          <w:sz w:val="24"/>
          <w:szCs w:val="24"/>
        </w:rPr>
        <w:t>- скотомогильники с биологическими камерами – 500 м.</w:t>
      </w:r>
    </w:p>
    <w:p>
      <w:pPr>
        <w:pStyle w:val="Normal"/>
        <w:widowControl w:val="false"/>
        <w:spacing w:lineRule="exact" w:line="280"/>
        <w:ind w:right="325" w:hanging="0"/>
        <w:jc w:val="both"/>
        <w:rPr>
          <w:color w:val="000000"/>
        </w:rPr>
      </w:pPr>
      <w:r>
        <w:rPr>
          <w:color w:val="000000"/>
        </w:rPr>
        <w:t xml:space="preserve">          </w:t>
      </w:r>
      <w:r>
        <w:rPr>
          <w:color w:val="000000"/>
        </w:rPr>
        <w:t xml:space="preserve">Минимальные расстояния от скотомогильников до скотопрогонов и пастбищ следует принимать 200 м, до автомобильных дорог в зависимости от их категории – 50-300 м. </w:t>
      </w:r>
    </w:p>
    <w:p>
      <w:pPr>
        <w:pStyle w:val="Footnotetext"/>
        <w:ind w:firstLine="709"/>
        <w:jc w:val="both"/>
        <w:rPr>
          <w:color w:val="000000"/>
          <w:sz w:val="24"/>
          <w:szCs w:val="24"/>
        </w:rPr>
      </w:pPr>
      <w:r>
        <w:rPr>
          <w:color w:val="000000"/>
          <w:sz w:val="24"/>
          <w:szCs w:val="24"/>
        </w:rPr>
        <w:t xml:space="preserve">Размещение  скотомогильников  (биотермических  ям)  на  территории  особо охраняемых  территорий  (в  том  числе  особо  охраняемых  природных  территориях, водоохранных, пригородных зонах, зонах охраны источников водоснабжения) категорически запрещается. </w:t>
      </w:r>
    </w:p>
    <w:p>
      <w:pPr>
        <w:pStyle w:val="Normal"/>
        <w:widowControl w:val="false"/>
        <w:tabs>
          <w:tab w:val="left" w:pos="3544" w:leader="none"/>
        </w:tabs>
        <w:spacing w:lineRule="exact" w:line="280" w:before="75" w:after="0"/>
        <w:jc w:val="center"/>
        <w:rPr>
          <w:color w:val="000000"/>
        </w:rPr>
      </w:pPr>
      <w:r>
        <w:rPr>
          <w:color w:val="000000"/>
        </w:rPr>
      </w:r>
    </w:p>
    <w:p>
      <w:pPr>
        <w:pStyle w:val="Normal"/>
        <w:widowControl w:val="false"/>
        <w:spacing w:lineRule="exact" w:line="273"/>
        <w:ind w:right="325" w:firstLine="720"/>
        <w:jc w:val="both"/>
        <w:rPr>
          <w:b/>
          <w:b/>
          <w:color w:val="000000"/>
        </w:rPr>
      </w:pPr>
      <w:r>
        <w:rPr>
          <w:b/>
        </w:rPr>
        <w:t xml:space="preserve">2.5.14. </w:t>
      </w:r>
      <w:r>
        <w:rPr>
          <w:b/>
          <w:color w:val="000000"/>
        </w:rPr>
        <w:t>Обеспечение доступности жилых объектов и объектов социальной инфраструктуры для инвалидов и маломобильных групп населения</w:t>
      </w:r>
    </w:p>
    <w:p>
      <w:pPr>
        <w:pStyle w:val="Normal"/>
        <w:widowControl w:val="false"/>
        <w:tabs>
          <w:tab w:val="left" w:pos="1034" w:leader="none"/>
        </w:tabs>
        <w:spacing w:lineRule="exact" w:line="274"/>
        <w:ind w:right="-1" w:firstLine="720"/>
        <w:jc w:val="both"/>
        <w:rPr>
          <w:color w:val="000000"/>
        </w:rPr>
      </w:pPr>
      <w:r>
        <w:rPr>
          <w:color w:val="000000"/>
        </w:rPr>
        <w:t xml:space="preserve">При проектировании следует соблюдать требования ВСН 62-91* «Проектирование среды  жизнедеятельности  с  учетом  потребностей  инвалидов  и  маломобильных  групп населения»,  СНиП  2.07.01-89*,  СНиП  2.08.01-89,  СНиП  2.08.02-89*,  СП  59.13330.2012 (Актуализированная  редакция  СНиП  35-01-2001  «Доступность  зданий  и  сооружений  для маломобильных групп населения»), СП 31-102-99 «Требования доступности общественных зданий  и  сооружений  для  инвалидов  и  других  маломобильных  посетителей»    при соблюдении РДС 35-201-99 «Порядок реализации требований доступности для инвалидов к объектам». </w:t>
      </w:r>
    </w:p>
    <w:p>
      <w:pPr>
        <w:pStyle w:val="Normal"/>
        <w:widowControl w:val="false"/>
        <w:tabs>
          <w:tab w:val="left" w:pos="1034" w:leader="none"/>
        </w:tabs>
        <w:spacing w:lineRule="exact" w:line="280"/>
        <w:ind w:right="-1" w:firstLine="720"/>
        <w:jc w:val="both"/>
        <w:rPr>
          <w:color w:val="000000"/>
        </w:rPr>
      </w:pPr>
      <w:r>
        <w:rPr>
          <w:color w:val="000000"/>
        </w:rPr>
        <w:t>При планировке и застройке городского и сельских поселений необходимо обеспечивать доступность объектов социальной инфраструктуры для инвалидов маломобильных групп населения.</w:t>
      </w:r>
    </w:p>
    <w:p>
      <w:pPr>
        <w:pStyle w:val="Normal"/>
        <w:widowControl w:val="false"/>
        <w:spacing w:lineRule="exact" w:line="280"/>
        <w:ind w:right="-1" w:firstLine="720"/>
        <w:jc w:val="both"/>
        <w:rPr>
          <w:color w:val="000000"/>
        </w:rPr>
      </w:pPr>
      <w:r>
        <w:rPr>
          <w:color w:val="000000"/>
        </w:rPr>
        <w:t xml:space="preserve">В случаях, когда при реконструкции застройки, строительстве и реконструкции зданий и сооружений,  а  также исторических и культурных памятников не могут быть выполнены  в  полном  объеме  требования  нормативов  в  части  доступности  объектов социальной  инфраструктуры  для  инвалидов,  по  согласованию  с  местным  органом социальной  защиты  населения  с  учетом  мнения  заинтересованных  общественных организаций  и  общественных  объединений  инвалидов  для  выработки  рекомендаций  по созданию условий доступности объектов инвалидов. </w:t>
      </w:r>
    </w:p>
    <w:p>
      <w:pPr>
        <w:pStyle w:val="Normal"/>
        <w:widowControl w:val="false"/>
        <w:tabs>
          <w:tab w:val="left" w:pos="1034" w:leader="none"/>
        </w:tabs>
        <w:spacing w:lineRule="exact" w:line="280"/>
        <w:ind w:right="-1" w:firstLine="720"/>
        <w:jc w:val="both"/>
        <w:rPr>
          <w:color w:val="000000"/>
        </w:rPr>
      </w:pPr>
      <w:r>
        <w:rPr>
          <w:color w:val="000000"/>
        </w:rPr>
        <w:t xml:space="preserve">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pPr>
        <w:pStyle w:val="Normal"/>
        <w:widowControl w:val="false"/>
        <w:spacing w:lineRule="exact" w:line="300"/>
        <w:ind w:right="-1" w:hanging="0"/>
        <w:jc w:val="both"/>
        <w:rPr>
          <w:color w:val="000000"/>
        </w:rPr>
      </w:pPr>
      <w:r>
        <w:rPr>
          <w:color w:val="000000"/>
        </w:rPr>
        <w:t xml:space="preserve">           </w:t>
      </w:r>
      <w:r>
        <w:rPr>
          <w:color w:val="000000"/>
        </w:rPr>
        <w:t xml:space="preserve">- жилые здания;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административные  здания  и  сооружения  (включая  судебно-правовые </w:t>
      </w:r>
      <w:r>
        <w:rPr>
          <w:color w:val="000000"/>
          <w:spacing w:val="-1"/>
        </w:rPr>
        <w:t xml:space="preserve">учреждения, правоохранительные и налоговые органы);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объекты культуры и культурно-зрелищные сооружения (театры, библиотеки, музеи и т.д.);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объекты и учреждения образования, здравоохранения и социальной защиты населения;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объекты  торговли,  общественного  питания  и  бытового  обслуживания населения, финансово-банковские учреждения;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гостиницы, иные места временного проживания;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физкультурно-оздоровительные здания  и  сооружения находящиеся на их территории объекты и сооружения оздоровительного и рекреационного назначения, аллеи и пешеходные дорожки;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санитарно-гигиенические помещения;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станции и остановки всех видов городского и пригородного транспорта;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почтово-телеграфные;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производственные  объекты,  объекты  малого  бизнеса  и  другие  места  приложения труда;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прилегающие к вышеперечисленным зданиям и сооружениям территории и площади. </w:t>
      </w:r>
    </w:p>
    <w:p>
      <w:pPr>
        <w:pStyle w:val="Normal"/>
        <w:widowControl w:val="false"/>
        <w:tabs>
          <w:tab w:val="left" w:pos="1034" w:leader="none"/>
          <w:tab w:val="left" w:pos="9922" w:leader="none"/>
        </w:tabs>
        <w:spacing w:lineRule="exact" w:line="273"/>
        <w:ind w:right="-1" w:firstLine="720"/>
        <w:jc w:val="both"/>
        <w:rPr>
          <w:color w:val="000000"/>
        </w:rPr>
      </w:pPr>
      <w:r>
        <w:rPr>
          <w:color w:val="000000"/>
        </w:rPr>
        <w:t xml:space="preserve">Жилые  районы  населенных  мест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pPr>
        <w:pStyle w:val="Normal"/>
        <w:widowControl w:val="false"/>
        <w:tabs>
          <w:tab w:val="left" w:pos="0" w:leader="none"/>
          <w:tab w:val="left" w:pos="9781" w:leader="none"/>
        </w:tabs>
        <w:spacing w:lineRule="exact" w:line="285" w:before="0" w:after="0"/>
        <w:ind w:firstLine="567"/>
        <w:contextualSpacing/>
        <w:jc w:val="both"/>
        <w:rPr>
          <w:color w:val="000000"/>
        </w:rPr>
      </w:pPr>
      <w:r>
        <w:rPr>
          <w:color w:val="000000"/>
        </w:rPr>
        <w:t>В районах нового строительства следует обеспечивать расположение жилых зданий квартирами  для  инвалидов  на  креслах-колясках  в  радиусе  обслуживания  предприятий торговли товарами повседневного спроса и комплексных приемных пунктов предприятий бытового обслуживания не более 300 м.</w:t>
      </w:r>
    </w:p>
    <w:p>
      <w:pPr>
        <w:pStyle w:val="Normal"/>
        <w:widowControl w:val="false"/>
        <w:tabs>
          <w:tab w:val="left" w:pos="0" w:leader="none"/>
          <w:tab w:val="left" w:pos="9781" w:leader="none"/>
        </w:tabs>
        <w:spacing w:lineRule="exact" w:line="285" w:before="0" w:after="0"/>
        <w:ind w:firstLine="567"/>
        <w:contextualSpacing/>
        <w:jc w:val="both"/>
        <w:rPr>
          <w:color w:val="000000"/>
        </w:rPr>
      </w:pPr>
      <w:r>
        <w:rPr>
          <w:color w:val="000000"/>
        </w:rPr>
        <w:t xml:space="preserve"> </w:t>
      </w:r>
      <w:r>
        <w:rPr>
          <w:color w:val="000000"/>
        </w:rPr>
        <w:t xml:space="preserve">Территориальные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 </w:t>
      </w:r>
    </w:p>
    <w:p>
      <w:pPr>
        <w:pStyle w:val="Footnotetext"/>
        <w:ind w:firstLine="709"/>
        <w:jc w:val="both"/>
        <w:rPr>
          <w:color w:val="000000"/>
          <w:sz w:val="24"/>
          <w:szCs w:val="24"/>
        </w:rPr>
      </w:pPr>
      <w:r>
        <w:rPr>
          <w:color w:val="000000"/>
          <w:sz w:val="24"/>
          <w:szCs w:val="24"/>
        </w:rPr>
        <w:t xml:space="preserve"> </w:t>
      </w:r>
      <w:r>
        <w:rPr>
          <w:color w:val="000000"/>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w:t>
      </w:r>
    </w:p>
    <w:p>
      <w:pPr>
        <w:pStyle w:val="Footnotetext"/>
        <w:ind w:firstLine="709"/>
        <w:jc w:val="both"/>
        <w:rPr>
          <w:color w:val="000000"/>
          <w:sz w:val="24"/>
          <w:szCs w:val="24"/>
        </w:rPr>
      </w:pPr>
      <w:r>
        <w:rPr>
          <w:color w:val="000000"/>
          <w:sz w:val="24"/>
          <w:szCs w:val="24"/>
        </w:rPr>
        <w:t xml:space="preserve">Транспортные проезды и пешеходные дороги на пути ко всем объектам социальной </w:t>
      </w:r>
      <w:r>
        <w:rPr>
          <w:color w:val="000000"/>
          <w:spacing w:val="-1"/>
          <w:sz w:val="24"/>
          <w:szCs w:val="24"/>
        </w:rPr>
        <w:t xml:space="preserve">инфраструктуры,  посещаемым  инвалидами,  допускается  совмещать  при  соблюдении </w:t>
      </w:r>
      <w:r>
        <w:rPr>
          <w:color w:val="000000"/>
          <w:sz w:val="24"/>
          <w:szCs w:val="24"/>
        </w:rPr>
        <w:t xml:space="preserve">требований к параметрам путей движения. </w:t>
      </w:r>
    </w:p>
    <w:p>
      <w:pPr>
        <w:pStyle w:val="Normal"/>
        <w:widowControl w:val="false"/>
        <w:tabs>
          <w:tab w:val="left" w:pos="3544" w:leader="none"/>
        </w:tabs>
        <w:spacing w:lineRule="exact" w:line="275" w:before="75" w:after="0"/>
        <w:ind w:firstLine="720"/>
        <w:jc w:val="right"/>
        <w:rPr>
          <w:color w:val="000000"/>
        </w:rPr>
      </w:pPr>
      <w:r>
        <w:rPr>
          <w:color w:val="000000"/>
        </w:rPr>
      </w:r>
    </w:p>
    <w:p>
      <w:pPr>
        <w:pStyle w:val="Normal"/>
        <w:widowControl w:val="false"/>
        <w:tabs>
          <w:tab w:val="left" w:pos="3544" w:leader="none"/>
        </w:tabs>
        <w:spacing w:lineRule="exact" w:line="275" w:before="75" w:after="0"/>
        <w:ind w:firstLine="720"/>
        <w:jc w:val="right"/>
        <w:rPr>
          <w:color w:val="000000"/>
        </w:rPr>
      </w:pPr>
      <w:r>
        <w:rPr>
          <w:color w:val="000000"/>
        </w:rPr>
      </w:r>
    </w:p>
    <w:p>
      <w:pPr>
        <w:pStyle w:val="Normal"/>
        <w:widowControl w:val="false"/>
        <w:tabs>
          <w:tab w:val="left" w:pos="3544" w:leader="none"/>
        </w:tabs>
        <w:spacing w:lineRule="exact" w:line="275" w:before="75" w:after="0"/>
        <w:ind w:firstLine="720"/>
        <w:jc w:val="right"/>
        <w:rPr>
          <w:color w:val="000000"/>
        </w:rPr>
      </w:pPr>
      <w:r>
        <w:rPr>
          <w:color w:val="000000"/>
        </w:rPr>
        <w:t>Приложение 1</w:t>
      </w:r>
    </w:p>
    <w:p>
      <w:pPr>
        <w:pStyle w:val="Normal"/>
        <w:widowControl w:val="false"/>
        <w:tabs>
          <w:tab w:val="left" w:pos="1843" w:leader="none"/>
          <w:tab w:val="left" w:pos="8789" w:leader="none"/>
        </w:tabs>
        <w:spacing w:before="0" w:after="0"/>
        <w:ind w:left="283" w:right="272" w:hanging="0"/>
        <w:contextualSpacing/>
        <w:jc w:val="center"/>
        <w:rPr>
          <w:b/>
          <w:b/>
          <w:color w:val="000000"/>
        </w:rPr>
      </w:pPr>
      <w:r>
        <w:rPr>
          <w:b/>
          <w:color w:val="000000"/>
        </w:rPr>
        <w:t>Термины и определения</w:t>
      </w:r>
    </w:p>
    <w:p>
      <w:pPr>
        <w:pStyle w:val="Normal"/>
        <w:widowControl w:val="false"/>
        <w:tabs>
          <w:tab w:val="left" w:pos="1843" w:leader="none"/>
          <w:tab w:val="left" w:pos="8789" w:leader="none"/>
        </w:tabs>
        <w:spacing w:before="0" w:after="0"/>
        <w:ind w:right="272" w:firstLine="283"/>
        <w:contextualSpacing/>
        <w:jc w:val="center"/>
        <w:rPr>
          <w:b/>
          <w:b/>
          <w:color w:val="000000"/>
        </w:rPr>
      </w:pPr>
      <w:r>
        <w:rPr>
          <w:b/>
          <w:color w:val="000000"/>
        </w:rPr>
      </w:r>
    </w:p>
    <w:p>
      <w:pPr>
        <w:pStyle w:val="Normal"/>
        <w:widowControl w:val="false"/>
        <w:numPr>
          <w:ilvl w:val="0"/>
          <w:numId w:val="2"/>
        </w:numPr>
        <w:tabs>
          <w:tab w:val="left" w:pos="1843" w:leader="none"/>
          <w:tab w:val="left" w:pos="8789" w:leader="none"/>
        </w:tabs>
        <w:spacing w:before="135" w:after="0"/>
        <w:ind w:left="0" w:right="272" w:firstLine="283"/>
        <w:contextualSpacing/>
        <w:jc w:val="both"/>
        <w:rPr>
          <w:color w:val="000000"/>
        </w:rPr>
      </w:pPr>
      <w:r>
        <w:rPr>
          <w:color w:val="000000"/>
        </w:rPr>
        <w:t xml:space="preserve"> </w:t>
      </w:r>
      <w:r>
        <w:rPr>
          <w:color w:val="000000"/>
        </w:rPr>
        <w:t xml:space="preserve">настоящих нормативах термины и определения используются в следующих значениях: </w:t>
      </w:r>
    </w:p>
    <w:p>
      <w:pPr>
        <w:pStyle w:val="Normal"/>
        <w:widowControl w:val="false"/>
        <w:tabs>
          <w:tab w:val="left" w:pos="1843" w:leader="none"/>
          <w:tab w:val="left" w:pos="3969" w:leader="none"/>
          <w:tab w:val="left" w:pos="8789" w:leader="none"/>
        </w:tabs>
        <w:spacing w:before="0" w:after="0"/>
        <w:ind w:right="272" w:firstLine="283"/>
        <w:contextualSpacing/>
        <w:jc w:val="both"/>
        <w:rPr>
          <w:color w:val="000000"/>
        </w:rPr>
      </w:pPr>
      <w:r>
        <w:rPr>
          <w:b/>
          <w:color w:val="000000"/>
        </w:rPr>
        <w:t>градостроительная деятельность</w:t>
      </w:r>
      <w:r>
        <w:rPr>
          <w:color w:val="000000"/>
        </w:rPr>
        <w:tab/>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pPr>
        <w:pStyle w:val="Normal"/>
        <w:widowControl w:val="false"/>
        <w:tabs>
          <w:tab w:val="left" w:pos="1843" w:leader="none"/>
          <w:tab w:val="left" w:pos="4315" w:leader="none"/>
          <w:tab w:val="left" w:pos="8789" w:leader="none"/>
        </w:tabs>
        <w:spacing w:before="0" w:after="0"/>
        <w:ind w:right="272" w:firstLine="283"/>
        <w:contextualSpacing/>
        <w:jc w:val="both"/>
        <w:rPr>
          <w:color w:val="000000"/>
        </w:rPr>
      </w:pPr>
      <w:r>
        <w:rPr>
          <w:b/>
          <w:color w:val="000000"/>
        </w:rPr>
        <w:t>градостроительная  документация</w:t>
      </w:r>
      <w:r>
        <w:rPr>
          <w:color w:val="000000"/>
        </w:rPr>
        <w:tab/>
        <w:t xml:space="preserve">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и  с  проработкой  архитектурно- планировочных решений по застройке территории, разрабатываемых на профессиональной основе; </w:t>
      </w:r>
    </w:p>
    <w:p>
      <w:pPr>
        <w:pStyle w:val="Normal"/>
        <w:widowControl w:val="false"/>
        <w:tabs>
          <w:tab w:val="left" w:pos="1843" w:leader="none"/>
          <w:tab w:val="left" w:pos="3842" w:leader="none"/>
          <w:tab w:val="left" w:pos="8789" w:leader="none"/>
        </w:tabs>
        <w:spacing w:before="0" w:after="0"/>
        <w:ind w:right="272" w:firstLine="283"/>
        <w:contextualSpacing/>
        <w:jc w:val="both"/>
        <w:rPr>
          <w:color w:val="000000"/>
        </w:rPr>
      </w:pPr>
      <w:r>
        <w:rPr>
          <w:b/>
          <w:color w:val="000000"/>
        </w:rPr>
        <w:t>градостроительное зонирование</w:t>
      </w:r>
      <w:r>
        <w:rPr>
          <w:color w:val="000000"/>
        </w:rPr>
        <w:tab/>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pPr>
        <w:pStyle w:val="Normal"/>
        <w:widowControl w:val="false"/>
        <w:tabs>
          <w:tab w:val="left" w:pos="1843" w:leader="none"/>
          <w:tab w:val="left" w:pos="3713" w:leader="none"/>
          <w:tab w:val="left" w:pos="8789" w:leader="none"/>
        </w:tabs>
        <w:spacing w:before="0" w:after="0"/>
        <w:ind w:right="272" w:firstLine="283"/>
        <w:contextualSpacing/>
        <w:jc w:val="both"/>
        <w:rPr>
          <w:color w:val="000000"/>
        </w:rPr>
      </w:pPr>
      <w:r>
        <w:rPr>
          <w:b/>
          <w:color w:val="000000"/>
        </w:rPr>
        <w:t>градостроительный регламент</w:t>
      </w:r>
      <w:r>
        <w:rPr>
          <w:color w:val="000000"/>
        </w:rPr>
        <w:tab/>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pPr>
        <w:pStyle w:val="Normal"/>
        <w:widowControl w:val="false"/>
        <w:tabs>
          <w:tab w:val="left" w:pos="1843" w:leader="none"/>
          <w:tab w:val="left" w:pos="6898" w:leader="none"/>
          <w:tab w:val="left" w:pos="8789" w:leader="none"/>
        </w:tabs>
        <w:spacing w:before="0" w:after="0"/>
        <w:ind w:right="272" w:firstLine="283"/>
        <w:contextualSpacing/>
        <w:jc w:val="both"/>
        <w:rPr>
          <w:color w:val="000000"/>
        </w:rPr>
      </w:pPr>
      <w:r>
        <w:rPr>
          <w:b/>
          <w:color w:val="000000"/>
        </w:rPr>
        <w:t xml:space="preserve">гражданская  оборона </w:t>
      </w:r>
      <w:r>
        <w:rPr>
          <w:color w:val="000000"/>
        </w:rPr>
        <w:t xml:space="preserve">-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w:t>
      </w:r>
    </w:p>
    <w:p>
      <w:pPr>
        <w:pStyle w:val="Normal"/>
        <w:widowControl w:val="false"/>
        <w:tabs>
          <w:tab w:val="left" w:pos="1843" w:leader="none"/>
          <w:tab w:val="left" w:pos="6898" w:leader="none"/>
          <w:tab w:val="left" w:pos="8789" w:leader="none"/>
        </w:tabs>
        <w:spacing w:before="0" w:after="0"/>
        <w:ind w:right="272" w:firstLine="283"/>
        <w:contextualSpacing/>
        <w:jc w:val="both"/>
        <w:rPr>
          <w:color w:val="000000"/>
        </w:rPr>
      </w:pPr>
      <w:r>
        <w:rPr>
          <w:b/>
          <w:color w:val="000000"/>
        </w:rPr>
        <w:t>зоны  с  особыми  условиями  использования  территорий</w:t>
      </w:r>
      <w:r>
        <w:rPr>
          <w:color w:val="000000"/>
        </w:rPr>
        <w:tab/>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 </w:t>
      </w:r>
    </w:p>
    <w:p>
      <w:pPr>
        <w:pStyle w:val="Normal"/>
        <w:widowControl w:val="false"/>
        <w:tabs>
          <w:tab w:val="left" w:pos="1843" w:leader="none"/>
          <w:tab w:val="left" w:pos="3053" w:leader="none"/>
          <w:tab w:val="left" w:pos="8789" w:leader="none"/>
        </w:tabs>
        <w:spacing w:before="0" w:after="0"/>
        <w:ind w:right="272" w:firstLine="283"/>
        <w:contextualSpacing/>
        <w:jc w:val="both"/>
        <w:rPr>
          <w:color w:val="000000"/>
        </w:rPr>
      </w:pPr>
      <w:r>
        <w:rPr>
          <w:b/>
          <w:color w:val="000000"/>
        </w:rPr>
        <w:t>инженерные  изыскания</w:t>
      </w:r>
      <w:r>
        <w:rPr>
          <w:color w:val="000000"/>
        </w:rPr>
        <w:tab/>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которые используются для территориального планирования, планировки территории и архитектурно- строительного проектирования; </w:t>
      </w:r>
    </w:p>
    <w:p>
      <w:pPr>
        <w:pStyle w:val="Normal"/>
        <w:widowControl w:val="false"/>
        <w:tabs>
          <w:tab w:val="left" w:pos="1843" w:leader="none"/>
          <w:tab w:val="left" w:pos="8789" w:leader="none"/>
        </w:tabs>
        <w:spacing w:before="0" w:after="0"/>
        <w:ind w:right="272" w:firstLine="283"/>
        <w:contextualSpacing/>
        <w:jc w:val="both"/>
        <w:rPr>
          <w:color w:val="000000"/>
        </w:rPr>
      </w:pPr>
      <w:r>
        <w:rPr>
          <w:b/>
          <w:color w:val="000000"/>
        </w:rPr>
        <w:t xml:space="preserve">коэффициент застройки – </w:t>
      </w:r>
      <w:r>
        <w:rPr>
          <w:color w:val="000000"/>
        </w:rPr>
        <w:t xml:space="preserve">отношение площади, занятой под зданиями и сооружениями, к площади участка (квартала); </w:t>
      </w:r>
    </w:p>
    <w:p>
      <w:pPr>
        <w:pStyle w:val="Normal"/>
        <w:widowControl w:val="false"/>
        <w:tabs>
          <w:tab w:val="left" w:pos="1843" w:leader="none"/>
          <w:tab w:val="left" w:pos="4627" w:leader="none"/>
          <w:tab w:val="left" w:pos="8789" w:leader="none"/>
        </w:tabs>
        <w:spacing w:before="0" w:after="0"/>
        <w:ind w:right="272" w:firstLine="283"/>
        <w:contextualSpacing/>
        <w:jc w:val="both"/>
        <w:rPr>
          <w:b/>
          <w:b/>
          <w:color w:val="000000"/>
        </w:rPr>
      </w:pPr>
      <w:r>
        <w:rPr>
          <w:b/>
          <w:color w:val="000000"/>
        </w:rPr>
        <w:t>коэффициент  плотности  застройки  -</w:t>
      </w:r>
      <w:r>
        <w:rPr>
          <w:color w:val="000000"/>
        </w:rPr>
        <w:tab/>
        <w:t xml:space="preserve"> отношение  площади  всех  этажей  зданий  и сооружений к площади участка (квартала);</w:t>
      </w:r>
      <w:r>
        <w:rPr>
          <w:b/>
          <w:color w:val="000000"/>
        </w:rPr>
        <w:t xml:space="preserve"> </w:t>
      </w:r>
    </w:p>
    <w:p>
      <w:pPr>
        <w:pStyle w:val="Normal"/>
        <w:widowControl w:val="false"/>
        <w:tabs>
          <w:tab w:val="left" w:pos="1843" w:leader="none"/>
          <w:tab w:val="left" w:pos="8789" w:leader="none"/>
        </w:tabs>
        <w:spacing w:before="0" w:after="0"/>
        <w:ind w:right="272" w:firstLine="283"/>
        <w:contextualSpacing/>
        <w:jc w:val="both"/>
        <w:rPr>
          <w:color w:val="000000"/>
        </w:rPr>
      </w:pPr>
      <w:r>
        <w:rPr>
          <w:b/>
          <w:color w:val="000000"/>
        </w:rPr>
        <w:t>красные линии</w:t>
      </w:r>
      <w:r>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 - кабельные сооружения), трубопроводы, автомобильные дороги, железнодорожные линии и другие подобные сооружения (далее - линейные объекты); </w:t>
      </w:r>
    </w:p>
    <w:p>
      <w:pPr>
        <w:pStyle w:val="Normal"/>
        <w:widowControl w:val="false"/>
        <w:tabs>
          <w:tab w:val="left" w:pos="1843" w:leader="none"/>
          <w:tab w:val="left" w:pos="6051" w:leader="none"/>
          <w:tab w:val="left" w:pos="8789" w:leader="none"/>
        </w:tabs>
        <w:spacing w:before="0" w:after="0"/>
        <w:ind w:right="272" w:firstLine="283"/>
        <w:contextualSpacing/>
        <w:jc w:val="both"/>
        <w:rPr>
          <w:color w:val="000000"/>
        </w:rPr>
      </w:pPr>
      <w:r>
        <w:rPr>
          <w:b/>
          <w:color w:val="000000"/>
        </w:rPr>
        <w:t>нормативы  градостроительного  проектирования</w:t>
      </w:r>
      <w:r>
        <w:rPr>
          <w:color w:val="000000"/>
        </w:rPr>
        <w:tab/>
        <w:t xml:space="preserve"> (региональные  и  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pPr>
        <w:pStyle w:val="Normal"/>
        <w:widowControl w:val="false"/>
        <w:tabs>
          <w:tab w:val="left" w:pos="1843" w:leader="none"/>
          <w:tab w:val="left" w:pos="4630" w:leader="none"/>
          <w:tab w:val="left" w:pos="8789" w:leader="none"/>
        </w:tabs>
        <w:spacing w:before="0" w:after="0"/>
        <w:ind w:right="272" w:firstLine="283"/>
        <w:contextualSpacing/>
        <w:jc w:val="both"/>
        <w:rPr>
          <w:color w:val="000000"/>
        </w:rPr>
      </w:pPr>
      <w:r>
        <w:rPr>
          <w:b/>
          <w:color w:val="000000"/>
        </w:rPr>
        <w:t>объект  капитального  строительства -</w:t>
      </w:r>
      <w:r>
        <w:rPr>
          <w:color w:val="000000"/>
        </w:rPr>
        <w:t xml:space="preserve"> (федерального,  регионального  и  местного значения) - существующее и планируемое к строительству здание, строение, сооружение, а также объекты, строительство которых не завершено, за исключением временных построек, киосков, навесов и других подобных построек; </w:t>
      </w:r>
    </w:p>
    <w:p>
      <w:pPr>
        <w:pStyle w:val="Normal"/>
        <w:widowControl w:val="false"/>
        <w:tabs>
          <w:tab w:val="left" w:pos="1843" w:leader="none"/>
          <w:tab w:val="left" w:pos="4800" w:leader="none"/>
          <w:tab w:val="left" w:pos="8789" w:leader="none"/>
        </w:tabs>
        <w:spacing w:before="0" w:after="0"/>
        <w:ind w:right="272" w:firstLine="283"/>
        <w:contextualSpacing/>
        <w:jc w:val="both"/>
        <w:rPr>
          <w:color w:val="000000"/>
        </w:rPr>
      </w:pPr>
      <w:r>
        <w:rPr>
          <w:b/>
          <w:color w:val="000000"/>
        </w:rPr>
        <w:t xml:space="preserve">  </w:t>
      </w:r>
      <w:r>
        <w:rPr>
          <w:b/>
          <w:color w:val="000000"/>
        </w:rPr>
        <w:t>правила землепользования и застройки</w:t>
      </w:r>
      <w:r>
        <w:rPr>
          <w:color w:val="000000"/>
        </w:rPr>
        <w:tab/>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pPr>
        <w:pStyle w:val="Normal"/>
        <w:widowControl w:val="false"/>
        <w:tabs>
          <w:tab w:val="left" w:pos="1843" w:leader="none"/>
          <w:tab w:val="left" w:pos="8789" w:leader="none"/>
        </w:tabs>
        <w:spacing w:before="0" w:after="0"/>
        <w:ind w:right="272" w:firstLine="283"/>
        <w:contextualSpacing/>
        <w:jc w:val="both"/>
        <w:rPr>
          <w:color w:val="000000"/>
        </w:rPr>
      </w:pPr>
      <w:r>
        <w:rPr>
          <w:b/>
          <w:color w:val="000000"/>
        </w:rPr>
        <w:t>реконструкция</w:t>
      </w:r>
      <w:r>
        <w:rPr>
          <w:color w:val="000000"/>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 </w:t>
      </w:r>
    </w:p>
    <w:p>
      <w:pPr>
        <w:pStyle w:val="Normal"/>
        <w:widowControl w:val="false"/>
        <w:tabs>
          <w:tab w:val="left" w:pos="1843" w:leader="none"/>
          <w:tab w:val="left" w:pos="8789" w:leader="none"/>
        </w:tabs>
        <w:spacing w:before="0" w:after="0"/>
        <w:ind w:right="272" w:firstLine="283"/>
        <w:contextualSpacing/>
        <w:jc w:val="both"/>
        <w:rPr>
          <w:color w:val="000000"/>
        </w:rPr>
      </w:pPr>
      <w:r>
        <w:rPr>
          <w:b/>
          <w:color w:val="000000"/>
        </w:rPr>
        <w:t>строительство</w:t>
      </w:r>
      <w:r>
        <w:rPr>
          <w:color w:val="000000"/>
        </w:rPr>
        <w:t xml:space="preserve"> - создание зданий, строений, сооружений (в том числе на месте сносимых объектов капитального строительства); </w:t>
      </w:r>
    </w:p>
    <w:p>
      <w:pPr>
        <w:pStyle w:val="Normal"/>
        <w:widowControl w:val="false"/>
        <w:tabs>
          <w:tab w:val="left" w:pos="1843" w:leader="none"/>
          <w:tab w:val="left" w:pos="3859" w:leader="none"/>
          <w:tab w:val="left" w:pos="8789" w:leader="none"/>
        </w:tabs>
        <w:spacing w:before="0" w:after="0"/>
        <w:ind w:right="272" w:firstLine="283"/>
        <w:contextualSpacing/>
        <w:jc w:val="both"/>
        <w:rPr>
          <w:color w:val="000000"/>
        </w:rPr>
      </w:pPr>
      <w:r>
        <w:rPr>
          <w:b/>
          <w:color w:val="000000"/>
        </w:rPr>
        <w:t>территориальное планирование</w:t>
      </w:r>
      <w:r>
        <w:rPr>
          <w:color w:val="000000"/>
        </w:rPr>
        <w:tab/>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pPr>
        <w:pStyle w:val="Normal"/>
        <w:widowControl w:val="false"/>
        <w:tabs>
          <w:tab w:val="left" w:pos="1843" w:leader="none"/>
          <w:tab w:val="left" w:pos="2911" w:leader="none"/>
          <w:tab w:val="left" w:pos="8789" w:leader="none"/>
        </w:tabs>
        <w:spacing w:before="0" w:after="0"/>
        <w:ind w:right="272" w:firstLine="283"/>
        <w:contextualSpacing/>
        <w:jc w:val="both"/>
        <w:rPr>
          <w:color w:val="000000"/>
        </w:rPr>
      </w:pPr>
      <w:r>
        <w:rPr>
          <w:b/>
          <w:color w:val="000000"/>
        </w:rPr>
        <w:t>территориальные зоны</w:t>
      </w:r>
      <w:r>
        <w:rPr>
          <w:color w:val="000000"/>
        </w:rPr>
        <w:tab/>
        <w:t xml:space="preserve"> - зоны, для которых в правилах землепользования и застройки определены границы и установлены градостроительные регламенты; </w:t>
      </w:r>
    </w:p>
    <w:p>
      <w:pPr>
        <w:pStyle w:val="Normal"/>
        <w:widowControl w:val="false"/>
        <w:tabs>
          <w:tab w:val="left" w:pos="1843" w:leader="none"/>
          <w:tab w:val="left" w:pos="3945" w:leader="none"/>
          <w:tab w:val="left" w:pos="8789" w:leader="none"/>
        </w:tabs>
        <w:spacing w:before="0" w:after="0"/>
        <w:ind w:right="272" w:firstLine="283"/>
        <w:contextualSpacing/>
        <w:jc w:val="both"/>
        <w:rPr>
          <w:color w:val="000000"/>
        </w:rPr>
      </w:pPr>
      <w:r>
        <w:rPr>
          <w:b/>
          <w:color w:val="000000"/>
        </w:rPr>
        <w:t>территории общего пользования</w:t>
      </w:r>
      <w:r>
        <w:rPr>
          <w:color w:val="000000"/>
        </w:rPr>
        <w:tab/>
        <w:t xml:space="preserve"> - территории, которыми беспрепятственно пользуется неограниченный  круг  лиц  (в  том  числе  площади,  улицы,  проезды,  набережные,  скверы, бульвары); </w:t>
      </w:r>
    </w:p>
    <w:p>
      <w:pPr>
        <w:pStyle w:val="Normal"/>
        <w:widowControl w:val="false"/>
        <w:tabs>
          <w:tab w:val="left" w:pos="1843" w:leader="none"/>
          <w:tab w:val="left" w:pos="3984" w:leader="none"/>
          <w:tab w:val="left" w:pos="8789" w:leader="none"/>
        </w:tabs>
        <w:spacing w:before="0" w:after="0"/>
        <w:ind w:right="272" w:firstLine="283"/>
        <w:contextualSpacing/>
        <w:jc w:val="both"/>
        <w:rPr>
          <w:color w:val="000000"/>
        </w:rPr>
      </w:pPr>
      <w:r>
        <w:rPr>
          <w:b/>
          <w:color w:val="000000"/>
        </w:rPr>
        <w:t>устойчивое развитие территорий</w:t>
      </w:r>
      <w:r>
        <w:rPr>
          <w:color w:val="000000"/>
        </w:rPr>
        <w:tab/>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w:t>
      </w:r>
    </w:p>
    <w:p>
      <w:pPr>
        <w:pStyle w:val="Normal"/>
        <w:widowControl w:val="false"/>
        <w:tabs>
          <w:tab w:val="left" w:pos="1843" w:leader="none"/>
          <w:tab w:val="left" w:pos="3038" w:leader="none"/>
          <w:tab w:val="left" w:pos="8789" w:leader="none"/>
        </w:tabs>
        <w:spacing w:before="0" w:after="0"/>
        <w:ind w:right="272" w:firstLine="283"/>
        <w:contextualSpacing/>
        <w:jc w:val="both"/>
        <w:rPr>
          <w:color w:val="000000"/>
        </w:rPr>
      </w:pPr>
      <w:r>
        <w:rPr>
          <w:b/>
          <w:color w:val="000000"/>
        </w:rPr>
        <w:t>функциональные  зоны -</w:t>
      </w:r>
      <w:r>
        <w:rPr>
          <w:color w:val="000000"/>
        </w:rPr>
        <w:t xml:space="preserve">  зоны,  для  которых  документами  территориального планирования определены границы и функциональное назначение;  </w:t>
      </w:r>
    </w:p>
    <w:p>
      <w:pPr>
        <w:pStyle w:val="Normal"/>
        <w:widowControl w:val="false"/>
        <w:tabs>
          <w:tab w:val="left" w:pos="1843" w:leader="none"/>
          <w:tab w:val="left" w:pos="2993" w:leader="none"/>
          <w:tab w:val="left" w:pos="8789" w:leader="none"/>
        </w:tabs>
        <w:spacing w:before="0" w:after="0"/>
        <w:ind w:right="272" w:firstLine="283"/>
        <w:contextualSpacing/>
        <w:jc w:val="both"/>
        <w:rPr>
          <w:color w:val="000000"/>
        </w:rPr>
      </w:pPr>
      <w:r>
        <w:rPr>
          <w:b/>
          <w:color w:val="000000"/>
        </w:rPr>
        <w:t>чрезвычайная ситуация</w:t>
      </w:r>
      <w:r>
        <w:rPr>
          <w:color w:val="000000"/>
        </w:rPr>
        <w:tab/>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pPr>
        <w:pStyle w:val="Normal"/>
        <w:widowControl w:val="false"/>
        <w:tabs>
          <w:tab w:val="left" w:pos="1843" w:leader="none"/>
          <w:tab w:val="left" w:pos="8789" w:leader="none"/>
        </w:tabs>
        <w:spacing w:before="155" w:after="0"/>
        <w:ind w:right="272" w:hanging="0"/>
        <w:contextualSpacing/>
        <w:rPr>
          <w:b/>
          <w:b/>
          <w:color w:val="000000"/>
        </w:rPr>
      </w:pPr>
      <w:r>
        <w:rPr>
          <w:b/>
          <w:color w:val="000000"/>
        </w:rPr>
      </w:r>
    </w:p>
    <w:p>
      <w:pPr>
        <w:pStyle w:val="Normal"/>
        <w:widowControl w:val="false"/>
        <w:tabs>
          <w:tab w:val="left" w:pos="1843" w:leader="none"/>
          <w:tab w:val="left" w:pos="8789" w:leader="none"/>
        </w:tabs>
        <w:spacing w:before="155" w:after="0"/>
        <w:ind w:right="272" w:firstLine="284"/>
        <w:contextualSpacing/>
        <w:jc w:val="center"/>
        <w:rPr>
          <w:b/>
          <w:b/>
          <w:color w:val="000000"/>
        </w:rPr>
      </w:pPr>
      <w:r>
        <w:rPr>
          <w:b/>
          <w:color w:val="000000"/>
        </w:rPr>
        <w:t>Нормативно-правовая база</w:t>
      </w:r>
    </w:p>
    <w:p>
      <w:pPr>
        <w:pStyle w:val="Normal"/>
        <w:widowControl w:val="false"/>
        <w:tabs>
          <w:tab w:val="left" w:pos="1843" w:leader="none"/>
          <w:tab w:val="left" w:pos="8789" w:leader="none"/>
        </w:tabs>
        <w:spacing w:before="75" w:after="0"/>
        <w:ind w:right="272" w:firstLine="284"/>
        <w:contextualSpacing/>
        <w:jc w:val="both"/>
        <w:rPr>
          <w:b/>
          <w:b/>
          <w:color w:val="000000"/>
        </w:rPr>
      </w:pPr>
      <w:r>
        <w:rPr>
          <w:b/>
          <w:color w:val="000000"/>
        </w:rPr>
        <w:t xml:space="preserve">Федеральные законы </w:t>
      </w:r>
    </w:p>
    <w:p>
      <w:pPr>
        <w:pStyle w:val="Normal"/>
        <w:spacing w:before="0" w:after="200"/>
        <w:contextualSpacing/>
        <w:jc w:val="both"/>
        <w:rPr/>
      </w:pPr>
      <w:r>
        <w:rPr/>
        <w:t xml:space="preserve">     </w:t>
      </w:r>
      <w:r>
        <w:rPr/>
        <w:t>1.   Градостроительный кодекс РФ от 29.12.2004 № 190-ФЗ;</w:t>
      </w:r>
    </w:p>
    <w:p>
      <w:pPr>
        <w:pStyle w:val="Normal"/>
        <w:spacing w:before="0" w:after="200"/>
        <w:ind w:left="284" w:hanging="0"/>
        <w:contextualSpacing/>
        <w:jc w:val="both"/>
        <w:rPr/>
      </w:pPr>
      <w:r>
        <w:rPr/>
        <w:t>2.   Земельный кодекс РФ от 25.10.2001 № 136-ФЗ;</w:t>
      </w:r>
    </w:p>
    <w:p>
      <w:pPr>
        <w:pStyle w:val="Normal"/>
        <w:spacing w:before="0" w:after="200"/>
        <w:ind w:left="284" w:hanging="0"/>
        <w:contextualSpacing/>
        <w:jc w:val="both"/>
        <w:rPr/>
      </w:pPr>
      <w:r>
        <w:rPr/>
        <w:t>3.   Жилищный кодекс РФ от 29.12.2004 № 188-ФЗ;</w:t>
      </w:r>
    </w:p>
    <w:p>
      <w:pPr>
        <w:pStyle w:val="Normal"/>
        <w:numPr>
          <w:ilvl w:val="0"/>
          <w:numId w:val="3"/>
        </w:numPr>
        <w:spacing w:before="0" w:after="200"/>
        <w:ind w:left="0" w:firstLine="284"/>
        <w:contextualSpacing/>
        <w:jc w:val="both"/>
        <w:rPr/>
      </w:pPr>
      <w:r>
        <w:rPr/>
        <w:t>Водный кодекс РФ от 03.06.2006 № 74-ФЗ;</w:t>
      </w:r>
    </w:p>
    <w:p>
      <w:pPr>
        <w:pStyle w:val="Normal"/>
        <w:numPr>
          <w:ilvl w:val="0"/>
          <w:numId w:val="3"/>
        </w:numPr>
        <w:spacing w:before="0" w:after="200"/>
        <w:ind w:left="0" w:firstLine="284"/>
        <w:contextualSpacing/>
        <w:jc w:val="both"/>
        <w:rPr/>
      </w:pPr>
      <w:r>
        <w:rPr/>
        <w:t xml:space="preserve">Лесной кодекс РФ от 04.12.2006 № 200-ФЗ; </w:t>
      </w:r>
    </w:p>
    <w:p>
      <w:pPr>
        <w:pStyle w:val="Normal"/>
        <w:numPr>
          <w:ilvl w:val="0"/>
          <w:numId w:val="3"/>
        </w:numPr>
        <w:spacing w:before="0" w:after="200"/>
        <w:ind w:left="0" w:firstLine="284"/>
        <w:contextualSpacing/>
        <w:jc w:val="both"/>
        <w:rPr/>
      </w:pPr>
      <w:r>
        <w:rPr/>
        <w:t xml:space="preserve">Федеральный закон от 06.10.2003 № 131-ФЗ «Об общих принципах организации местного самоуправления в Российской Федерации»; </w:t>
      </w:r>
    </w:p>
    <w:p>
      <w:pPr>
        <w:pStyle w:val="Normal"/>
        <w:numPr>
          <w:ilvl w:val="0"/>
          <w:numId w:val="3"/>
        </w:numPr>
        <w:spacing w:before="0" w:after="200"/>
        <w:ind w:left="0" w:firstLine="284"/>
        <w:contextualSpacing/>
        <w:jc w:val="both"/>
        <w:rPr/>
      </w:pPr>
      <w:r>
        <w:rPr/>
        <w:t>Федеральный закон от 29.12..2004 № 191-ФЗ «О введении в действие Градостроительного кодекса Российской Федерации»;</w:t>
      </w:r>
    </w:p>
    <w:p>
      <w:pPr>
        <w:pStyle w:val="Normal"/>
        <w:numPr>
          <w:ilvl w:val="0"/>
          <w:numId w:val="3"/>
        </w:numPr>
        <w:spacing w:before="0" w:after="200"/>
        <w:ind w:left="0" w:firstLine="284"/>
        <w:contextualSpacing/>
        <w:jc w:val="both"/>
        <w:rPr>
          <w:spacing w:val="-20"/>
        </w:rPr>
      </w:pPr>
      <w:r>
        <w:rPr>
          <w:spacing w:val="-20"/>
        </w:rPr>
        <w:t xml:space="preserve">Федеральный закон  от 27.12.2002  № 184-ФЗ «О техническом  регулировании»; </w:t>
      </w:r>
    </w:p>
    <w:p>
      <w:pPr>
        <w:pStyle w:val="Normal"/>
        <w:numPr>
          <w:ilvl w:val="0"/>
          <w:numId w:val="3"/>
        </w:numPr>
        <w:spacing w:before="0" w:after="200"/>
        <w:ind w:left="0" w:firstLine="284"/>
        <w:contextualSpacing/>
        <w:jc w:val="both"/>
        <w:rPr/>
      </w:pPr>
      <w:r>
        <w:rPr/>
        <w:t xml:space="preserve">Федеральный закон от 22.07.2008 № 123-ФЗ «Технический регламент о требованиях пожарной безопасности»; </w:t>
      </w:r>
    </w:p>
    <w:p>
      <w:pPr>
        <w:pStyle w:val="Normal"/>
        <w:numPr>
          <w:ilvl w:val="0"/>
          <w:numId w:val="3"/>
        </w:numPr>
        <w:spacing w:before="0" w:after="200"/>
        <w:ind w:left="0" w:firstLine="284"/>
        <w:contextualSpacing/>
        <w:jc w:val="both"/>
        <w:rPr/>
      </w:pPr>
      <w:r>
        <w:rPr/>
        <w:t>Федеральный закон от 30.03.1999 № 52-ФЗ «О санитарно-эпидемиологическом благополучии населения»;</w:t>
      </w:r>
    </w:p>
    <w:p>
      <w:pPr>
        <w:pStyle w:val="Normal"/>
        <w:numPr>
          <w:ilvl w:val="0"/>
          <w:numId w:val="3"/>
        </w:numPr>
        <w:spacing w:before="0" w:after="200"/>
        <w:ind w:left="0" w:firstLine="284"/>
        <w:contextualSpacing/>
        <w:jc w:val="both"/>
        <w:rPr/>
      </w:pPr>
      <w:r>
        <w:rPr/>
        <w:t xml:space="preserve">Федеральный закон от 14.03.1995 № 33-ФЗ «Об особо охраняемых природных территориях»; </w:t>
      </w:r>
    </w:p>
    <w:p>
      <w:pPr>
        <w:pStyle w:val="Normal"/>
        <w:numPr>
          <w:ilvl w:val="0"/>
          <w:numId w:val="3"/>
        </w:numPr>
        <w:spacing w:before="0" w:after="200"/>
        <w:ind w:left="0" w:firstLine="284"/>
        <w:contextualSpacing/>
        <w:jc w:val="both"/>
        <w:rPr>
          <w:spacing w:val="-12"/>
        </w:rPr>
      </w:pPr>
      <w:r>
        <w:rPr>
          <w:spacing w:val="-12"/>
        </w:rPr>
        <w:t>Федеральный закон от 10.01.2002 № 7-ФЗ «Об охране окружающей среды»;</w:t>
      </w:r>
    </w:p>
    <w:p>
      <w:pPr>
        <w:pStyle w:val="Normal"/>
        <w:numPr>
          <w:ilvl w:val="0"/>
          <w:numId w:val="3"/>
        </w:numPr>
        <w:spacing w:before="0" w:after="200"/>
        <w:ind w:left="0" w:firstLine="284"/>
        <w:contextualSpacing/>
        <w:jc w:val="both"/>
        <w:rPr/>
      </w:pPr>
      <w:r>
        <w:rPr/>
        <w:t xml:space="preserve">Закон Российской Федерации от 10.12.1995 № 195-ФЗ «Об основах социального обслуживания в Российской Федерации»; </w:t>
      </w:r>
    </w:p>
    <w:p>
      <w:pPr>
        <w:pStyle w:val="Normal"/>
        <w:numPr>
          <w:ilvl w:val="0"/>
          <w:numId w:val="3"/>
        </w:numPr>
        <w:spacing w:before="0" w:after="200"/>
        <w:ind w:left="0" w:firstLine="284"/>
        <w:contextualSpacing/>
        <w:jc w:val="both"/>
        <w:rPr>
          <w:spacing w:val="-8"/>
        </w:rPr>
      </w:pPr>
      <w:r>
        <w:rPr>
          <w:spacing w:val="-8"/>
        </w:rPr>
        <w:t xml:space="preserve">Закон Российской Федерации от 10.07.1992 № 3266-1 «Об образовании»; </w:t>
      </w:r>
    </w:p>
    <w:p>
      <w:pPr>
        <w:pStyle w:val="Normal"/>
        <w:numPr>
          <w:ilvl w:val="0"/>
          <w:numId w:val="3"/>
        </w:numPr>
        <w:spacing w:before="0" w:after="200"/>
        <w:ind w:left="0" w:firstLine="284"/>
        <w:contextualSpacing/>
        <w:jc w:val="both"/>
        <w:rPr/>
      </w:pPr>
      <w:r>
        <w:rPr/>
        <w:t>Федеральный закон от 08.11.2007№ 257-ФЗ «Об автомобильных дорогах и о дорожной деятельности в Российской Федерации»;</w:t>
      </w:r>
    </w:p>
    <w:p>
      <w:pPr>
        <w:pStyle w:val="Normal"/>
        <w:numPr>
          <w:ilvl w:val="0"/>
          <w:numId w:val="3"/>
        </w:numPr>
        <w:spacing w:before="0" w:after="200"/>
        <w:ind w:left="0" w:firstLine="284"/>
        <w:contextualSpacing/>
        <w:jc w:val="both"/>
        <w:rPr/>
      </w:pPr>
      <w:r>
        <w:rPr>
          <w:spacing w:val="-2"/>
        </w:rPr>
        <w:t>Федеральный закон от 09.01.1996 № 3-ФЗ «О радиационной безопасности населения»;</w:t>
      </w:r>
    </w:p>
    <w:p>
      <w:pPr>
        <w:pStyle w:val="Normal"/>
        <w:numPr>
          <w:ilvl w:val="0"/>
          <w:numId w:val="3"/>
        </w:numPr>
        <w:spacing w:before="0" w:after="200"/>
        <w:ind w:left="0" w:firstLine="284"/>
        <w:contextualSpacing/>
        <w:jc w:val="both"/>
        <w:rPr/>
      </w:pPr>
      <w:r>
        <w:rPr/>
        <w:t>Распоряжение Правительства Российской Федерации от 03.07.1996 №1063-р «О социальных нормативах и нормах»;</w:t>
      </w:r>
    </w:p>
    <w:p>
      <w:pPr>
        <w:pStyle w:val="Normal"/>
        <w:numPr>
          <w:ilvl w:val="0"/>
          <w:numId w:val="3"/>
        </w:numPr>
        <w:spacing w:before="0" w:after="200"/>
        <w:ind w:left="0" w:firstLine="284"/>
        <w:contextualSpacing/>
        <w:jc w:val="both"/>
        <w:rPr/>
      </w:pPr>
      <w:r>
        <w:rPr/>
        <w:t xml:space="preserve">Распоряжение Правительства Российской Федерации от 19.10.1999 №1683-р «О методике определения нормативной потребности субъектов Российской Федерации в объектах социальной инфраструктуры»; </w:t>
      </w:r>
    </w:p>
    <w:p>
      <w:pPr>
        <w:pStyle w:val="Normal"/>
        <w:numPr>
          <w:ilvl w:val="0"/>
          <w:numId w:val="3"/>
        </w:numPr>
        <w:spacing w:before="0" w:after="200"/>
        <w:ind w:left="0" w:firstLine="284"/>
        <w:contextualSpacing/>
        <w:jc w:val="both"/>
        <w:rPr/>
      </w:pPr>
      <w:r>
        <w:rPr/>
        <w:t>Постановление Правительства Российской Федерации от 13.06.2006 № 373 «О порядке установления нормативов потребления газа населением при отсутствии приборов учета газа»;</w:t>
      </w:r>
    </w:p>
    <w:p>
      <w:pPr>
        <w:pStyle w:val="Normal"/>
        <w:numPr>
          <w:ilvl w:val="0"/>
          <w:numId w:val="3"/>
        </w:numPr>
        <w:spacing w:before="0" w:after="200"/>
        <w:ind w:left="0" w:firstLine="284"/>
        <w:contextualSpacing/>
        <w:jc w:val="both"/>
        <w:rPr/>
      </w:pPr>
      <w:r>
        <w:rPr/>
        <w:t>Постановление Правительства РФ от 23.05.2006 № 306 «Об утверждении Правил установления и определения нормативов потребления коммунальных услуг»;</w:t>
      </w:r>
    </w:p>
    <w:p>
      <w:pPr>
        <w:pStyle w:val="Normal"/>
        <w:widowControl w:val="false"/>
        <w:numPr>
          <w:ilvl w:val="0"/>
          <w:numId w:val="3"/>
        </w:numPr>
        <w:spacing w:before="0" w:after="200"/>
        <w:ind w:left="0" w:firstLine="284"/>
        <w:contextualSpacing/>
        <w:jc w:val="both"/>
        <w:rPr/>
      </w:pPr>
      <w:r>
        <w:rPr/>
        <w:t xml:space="preserve">Постановление Правительства Российской Федерации от 18.04.2014 №360 «Об определении границ зон затопления, подтопления»; </w:t>
      </w:r>
    </w:p>
    <w:p>
      <w:pPr>
        <w:pStyle w:val="Normal"/>
        <w:numPr>
          <w:ilvl w:val="0"/>
          <w:numId w:val="3"/>
        </w:numPr>
        <w:spacing w:before="0" w:after="200"/>
        <w:ind w:left="0" w:firstLine="284"/>
        <w:contextualSpacing/>
        <w:jc w:val="both"/>
        <w:rPr/>
      </w:pPr>
      <w:r>
        <w:rPr/>
        <w:t>Перечень поручений Президента Российской Федерации по итогам заседания президиума Государственного совета Российской Федерации «О развитии системы социальной защиты граждан пожилого возраста» № Пр-2159 от 09.09.2014;</w:t>
      </w:r>
      <w:r>
        <w:rPr>
          <w:color w:val="000000"/>
        </w:rPr>
        <w:t xml:space="preserve"> </w:t>
      </w:r>
    </w:p>
    <w:p>
      <w:pPr>
        <w:pStyle w:val="Normal"/>
        <w:widowControl w:val="false"/>
        <w:tabs>
          <w:tab w:val="left" w:pos="1843" w:leader="none"/>
          <w:tab w:val="left" w:pos="8789" w:leader="none"/>
        </w:tabs>
        <w:spacing w:before="0" w:after="0"/>
        <w:ind w:right="272" w:firstLine="284"/>
        <w:contextualSpacing/>
        <w:jc w:val="both"/>
        <w:rPr>
          <w:color w:val="000000"/>
        </w:rPr>
      </w:pPr>
      <w:r>
        <w:rPr>
          <w:color w:val="000000"/>
        </w:rPr>
        <w:t xml:space="preserve"> </w:t>
      </w:r>
    </w:p>
    <w:p>
      <w:pPr>
        <w:pStyle w:val="Normal"/>
        <w:widowControl w:val="false"/>
        <w:tabs>
          <w:tab w:val="left" w:pos="1843" w:leader="none"/>
          <w:tab w:val="left" w:pos="8789" w:leader="none"/>
        </w:tabs>
        <w:spacing w:before="0" w:after="0"/>
        <w:ind w:right="272" w:firstLine="284"/>
        <w:contextualSpacing/>
        <w:rPr>
          <w:b/>
          <w:b/>
          <w:color w:val="000000"/>
        </w:rPr>
      </w:pPr>
      <w:r>
        <w:rPr>
          <w:b/>
          <w:color w:val="000000"/>
        </w:rPr>
        <w:t xml:space="preserve">Нормативные акты Российской Федерации </w:t>
      </w:r>
    </w:p>
    <w:p>
      <w:pPr>
        <w:pStyle w:val="Normal"/>
        <w:numPr>
          <w:ilvl w:val="0"/>
          <w:numId w:val="3"/>
        </w:numPr>
        <w:spacing w:before="0" w:after="200"/>
        <w:ind w:left="0" w:firstLine="284"/>
        <w:contextualSpacing/>
        <w:jc w:val="both"/>
        <w:rPr/>
      </w:pPr>
      <w:r>
        <w:rPr/>
        <w:t xml:space="preserve"> </w:t>
      </w:r>
      <w:r>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pPr>
        <w:pStyle w:val="Normal"/>
        <w:numPr>
          <w:ilvl w:val="0"/>
          <w:numId w:val="3"/>
        </w:numPr>
        <w:spacing w:before="0" w:after="200"/>
        <w:ind w:left="0" w:firstLine="284"/>
        <w:contextualSpacing/>
        <w:jc w:val="both"/>
        <w:rPr/>
      </w:pPr>
      <w:r>
        <w:rPr/>
        <w:t xml:space="preserve"> </w:t>
      </w:r>
      <w:r>
        <w:rPr/>
        <w:t xml:space="preserve">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социальной инфраструктуры»; </w:t>
      </w:r>
    </w:p>
    <w:p>
      <w:pPr>
        <w:pStyle w:val="Normal"/>
        <w:numPr>
          <w:ilvl w:val="0"/>
          <w:numId w:val="3"/>
        </w:numPr>
        <w:spacing w:before="0" w:after="200"/>
        <w:ind w:left="0" w:firstLine="284"/>
        <w:contextualSpacing/>
        <w:jc w:val="both"/>
        <w:rPr/>
      </w:pPr>
      <w:r>
        <w:rPr/>
        <w:t xml:space="preserve"> </w:t>
      </w:r>
      <w:r>
        <w:rPr/>
        <w:t xml:space="preserve">Постановление Правительства Российской Федерации от 20 ноября 2000 года № 878 «Об утверждении Правил охраны газораспределительных сетей»; </w:t>
      </w:r>
    </w:p>
    <w:p>
      <w:pPr>
        <w:pStyle w:val="Normal"/>
        <w:numPr>
          <w:ilvl w:val="0"/>
          <w:numId w:val="3"/>
        </w:numPr>
        <w:spacing w:before="0" w:after="200"/>
        <w:ind w:left="0" w:firstLine="284"/>
        <w:contextualSpacing/>
        <w:jc w:val="both"/>
        <w:rPr/>
      </w:pPr>
      <w:r>
        <w:rPr/>
        <w:t xml:space="preserve">Постановление Правительства Российской Федерации от 20 июня 2006 года № 384; </w:t>
      </w:r>
    </w:p>
    <w:p>
      <w:pPr>
        <w:pStyle w:val="Normal"/>
        <w:numPr>
          <w:ilvl w:val="0"/>
          <w:numId w:val="3"/>
        </w:numPr>
        <w:spacing w:before="0" w:after="200"/>
        <w:ind w:left="0" w:firstLine="284"/>
        <w:contextualSpacing/>
        <w:jc w:val="both"/>
        <w:rPr/>
      </w:pPr>
      <w:r>
        <w:rPr/>
        <w:t xml:space="preserve">Постановление Правительства Российской Федерации от 26 апреля 2008 года № 315 </w:t>
      </w:r>
    </w:p>
    <w:p>
      <w:pPr>
        <w:pStyle w:val="Normal"/>
        <w:spacing w:before="0" w:after="200"/>
        <w:contextualSpacing/>
        <w:jc w:val="both"/>
        <w:rPr/>
      </w:pPr>
      <w:r>
        <w:rPr/>
        <w:t xml:space="preserve">«Об утверждении Положения о зонах охраны объектов культурного наследия (памятников истории и культуры) народов Российской Федерации»; </w:t>
      </w:r>
    </w:p>
    <w:p>
      <w:pPr>
        <w:pStyle w:val="Normal"/>
        <w:numPr>
          <w:ilvl w:val="0"/>
          <w:numId w:val="3"/>
        </w:numPr>
        <w:spacing w:before="0" w:after="200"/>
        <w:ind w:left="0" w:firstLine="284"/>
        <w:contextualSpacing/>
        <w:jc w:val="both"/>
        <w:rPr/>
      </w:pPr>
      <w:r>
        <w:rPr/>
        <w:t xml:space="preserve"> </w:t>
      </w:r>
      <w:r>
        <w:rPr/>
        <w:t xml:space="preserve">Постановление Правительства Российской Федерации от 24 февраля 2009 года № 160 (ред.  от  26.08.2013)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pPr>
        <w:pStyle w:val="Normal"/>
        <w:numPr>
          <w:ilvl w:val="0"/>
          <w:numId w:val="3"/>
        </w:numPr>
        <w:spacing w:before="0" w:after="200"/>
        <w:ind w:left="0" w:firstLine="284"/>
        <w:contextualSpacing/>
        <w:jc w:val="both"/>
        <w:rPr/>
      </w:pPr>
      <w:r>
        <w:rPr/>
        <w:t xml:space="preserve">Распоряжение Правительства Российской Федерации от 3 июля 1996 года № 1063-р «О социальных нормативах и нормах»; </w:t>
      </w:r>
    </w:p>
    <w:p>
      <w:pPr>
        <w:pStyle w:val="Normal"/>
        <w:numPr>
          <w:ilvl w:val="0"/>
          <w:numId w:val="3"/>
        </w:numPr>
        <w:spacing w:before="0" w:after="200"/>
        <w:ind w:left="0" w:firstLine="284"/>
        <w:contextualSpacing/>
        <w:jc w:val="both"/>
        <w:rPr/>
      </w:pPr>
      <w:r>
        <w:rPr/>
        <w:t xml:space="preserve"> </w:t>
      </w:r>
      <w:r>
        <w:rPr/>
        <w:t xml:space="preserve">Распоряжение Правительства Российской Федерации от 19 октября 1999 года № 1683 (ред.  от  23.11.2009)  «О  методике  определения  нормативной  потребности  субъектов Российской Федерации в объектах социальной инфраструктуры»; </w:t>
      </w:r>
    </w:p>
    <w:p>
      <w:pPr>
        <w:pStyle w:val="Normal"/>
        <w:numPr>
          <w:ilvl w:val="0"/>
          <w:numId w:val="3"/>
        </w:numPr>
        <w:spacing w:before="0" w:after="200"/>
        <w:ind w:left="0" w:firstLine="284"/>
        <w:contextualSpacing/>
        <w:jc w:val="both"/>
        <w:rPr/>
      </w:pPr>
      <w:r>
        <w:rPr/>
        <w:t xml:space="preserve">Приказ Министерства транспорта РФ от 13 января 2010 № 4 «Об установлении и использовании придорожных полос автомобильных дорог федерального значения»; </w:t>
      </w:r>
    </w:p>
    <w:p>
      <w:pPr>
        <w:pStyle w:val="Normal"/>
        <w:widowControl w:val="false"/>
        <w:tabs>
          <w:tab w:val="left" w:pos="1843" w:leader="none"/>
          <w:tab w:val="left" w:pos="8789" w:leader="none"/>
        </w:tabs>
        <w:spacing w:before="0" w:after="0"/>
        <w:ind w:right="272" w:firstLine="284"/>
        <w:contextualSpacing/>
        <w:jc w:val="both"/>
        <w:rPr>
          <w:color w:val="000000"/>
        </w:rPr>
      </w:pPr>
      <w:r>
        <w:rPr>
          <w:color w:val="000000"/>
        </w:rPr>
      </w:r>
    </w:p>
    <w:p>
      <w:pPr>
        <w:pStyle w:val="Normal"/>
        <w:widowControl w:val="false"/>
        <w:tabs>
          <w:tab w:val="left" w:pos="1843" w:leader="none"/>
          <w:tab w:val="left" w:pos="8789" w:leader="none"/>
        </w:tabs>
        <w:spacing w:before="0" w:after="0"/>
        <w:ind w:right="272" w:firstLine="284"/>
        <w:contextualSpacing/>
        <w:rPr>
          <w:b/>
          <w:b/>
          <w:color w:val="000000"/>
        </w:rPr>
      </w:pPr>
      <w:r>
        <w:rPr>
          <w:b/>
          <w:color w:val="000000"/>
        </w:rPr>
        <w:t>Законодательные и нормативные акты Иркутской области</w:t>
      </w:r>
    </w:p>
    <w:p>
      <w:pPr>
        <w:pStyle w:val="Normal"/>
        <w:numPr>
          <w:ilvl w:val="0"/>
          <w:numId w:val="3"/>
        </w:numPr>
        <w:spacing w:before="0" w:after="200"/>
        <w:ind w:left="0" w:firstLine="284"/>
        <w:contextualSpacing/>
        <w:jc w:val="both"/>
        <w:rPr/>
      </w:pPr>
      <w:r>
        <w:rPr/>
        <w:t xml:space="preserve">Закон  Иркутской  области  от  21.06.2010  N  49-ОЗ  "Об  административно-территориальном устройстве Иркутской области"; </w:t>
      </w:r>
    </w:p>
    <w:p>
      <w:pPr>
        <w:pStyle w:val="Normal"/>
        <w:numPr>
          <w:ilvl w:val="0"/>
          <w:numId w:val="3"/>
        </w:numPr>
        <w:spacing w:before="0" w:after="200"/>
        <w:ind w:left="0" w:firstLine="284"/>
        <w:contextualSpacing/>
        <w:jc w:val="both"/>
        <w:rPr/>
      </w:pPr>
      <w:r>
        <w:rPr/>
        <w:t>Закон  Иркутской  области  от  16.12.2004  N  94-ОЗ  " "О статусе и границах муниципальных образований Боханского района Иркутской области";</w:t>
      </w:r>
    </w:p>
    <w:p>
      <w:pPr>
        <w:pStyle w:val="Normal"/>
        <w:numPr>
          <w:ilvl w:val="0"/>
          <w:numId w:val="3"/>
        </w:numPr>
        <w:spacing w:before="0" w:after="200"/>
        <w:ind w:left="0" w:firstLine="284"/>
        <w:contextualSpacing/>
        <w:jc w:val="both"/>
        <w:rPr/>
      </w:pPr>
      <w:r>
        <w:rPr/>
        <w:t xml:space="preserve">Закон Иркутской области от 23.07.2008 № 59-оз «О градостроительной деятельности в Иркутской области»; </w:t>
      </w:r>
    </w:p>
    <w:p>
      <w:pPr>
        <w:pStyle w:val="Normal"/>
        <w:numPr>
          <w:ilvl w:val="0"/>
          <w:numId w:val="3"/>
        </w:numPr>
        <w:spacing w:before="0" w:after="200"/>
        <w:ind w:left="0" w:firstLine="284"/>
        <w:contextualSpacing/>
        <w:jc w:val="both"/>
        <w:rPr/>
      </w:pPr>
      <w:r>
        <w:rPr/>
        <w:t>Закон Иркутской области от 19.06.2008 N 27-оз "Об особо охраняемых природных территориях и иных особо</w:t>
      </w:r>
      <w:r>
        <w:rPr>
          <w:color w:val="000000"/>
        </w:rPr>
        <w:t xml:space="preserve"> охраняемых территориях в Иркутской области"; </w:t>
      </w:r>
    </w:p>
    <w:p>
      <w:pPr>
        <w:pStyle w:val="Normal"/>
        <w:widowControl w:val="false"/>
        <w:tabs>
          <w:tab w:val="left" w:pos="1843" w:leader="none"/>
          <w:tab w:val="left" w:pos="8789" w:leader="none"/>
        </w:tabs>
        <w:spacing w:before="0" w:after="0"/>
        <w:ind w:right="272" w:firstLine="284"/>
        <w:contextualSpacing/>
        <w:jc w:val="both"/>
        <w:rPr>
          <w:color w:val="000000"/>
        </w:rPr>
      </w:pPr>
      <w:r>
        <w:rPr>
          <w:color w:val="000000"/>
        </w:rPr>
      </w:r>
    </w:p>
    <w:p>
      <w:pPr>
        <w:pStyle w:val="Normal"/>
        <w:widowControl w:val="false"/>
        <w:tabs>
          <w:tab w:val="left" w:pos="1843" w:leader="none"/>
          <w:tab w:val="left" w:pos="8789" w:leader="none"/>
        </w:tabs>
        <w:spacing w:before="0" w:after="0"/>
        <w:ind w:right="272" w:firstLine="284"/>
        <w:contextualSpacing/>
        <w:rPr>
          <w:b/>
          <w:b/>
          <w:color w:val="000000"/>
        </w:rPr>
      </w:pPr>
      <w:r>
        <w:rPr>
          <w:b/>
          <w:color w:val="000000"/>
        </w:rPr>
        <w:t xml:space="preserve">Государственные стандарты Российской Федерации (ГОСТ) </w:t>
      </w:r>
    </w:p>
    <w:p>
      <w:pPr>
        <w:pStyle w:val="Normal"/>
        <w:numPr>
          <w:ilvl w:val="0"/>
          <w:numId w:val="3"/>
        </w:numPr>
        <w:spacing w:before="0" w:after="200"/>
        <w:ind w:left="0" w:firstLine="284"/>
        <w:contextualSpacing/>
        <w:jc w:val="both"/>
        <w:rPr/>
      </w:pPr>
      <w:r>
        <w:rPr>
          <w:color w:val="000000"/>
        </w:rPr>
        <w:t xml:space="preserve"> </w:t>
      </w:r>
      <w:r>
        <w:rPr/>
        <w:t xml:space="preserve">ГОСТ 22283-88. Шум авиационный. Допустимые уровни шума на территории жилой застройки и методы его измерения. </w:t>
      </w:r>
    </w:p>
    <w:p>
      <w:pPr>
        <w:pStyle w:val="Normal"/>
        <w:numPr>
          <w:ilvl w:val="0"/>
          <w:numId w:val="3"/>
        </w:numPr>
        <w:spacing w:before="0" w:after="200"/>
        <w:ind w:left="0" w:firstLine="284"/>
        <w:contextualSpacing/>
        <w:jc w:val="both"/>
        <w:rPr/>
      </w:pPr>
      <w:r>
        <w:rPr/>
        <w:t xml:space="preserve"> </w:t>
      </w:r>
      <w:r>
        <w:rPr/>
        <w:t xml:space="preserve">ГОСТ  Р  51232-98.  Вода  питьевая.  Общие  требования  к  организации  и  методам контроля качества. </w:t>
      </w:r>
    </w:p>
    <w:p>
      <w:pPr>
        <w:pStyle w:val="Normal"/>
        <w:numPr>
          <w:ilvl w:val="0"/>
          <w:numId w:val="3"/>
        </w:numPr>
        <w:spacing w:before="0" w:after="200"/>
        <w:ind w:left="0" w:firstLine="284"/>
        <w:contextualSpacing/>
        <w:jc w:val="both"/>
        <w:rPr/>
      </w:pPr>
      <w:r>
        <w:rPr/>
        <w:t xml:space="preserve"> </w:t>
      </w:r>
      <w:r>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pPr>
        <w:pStyle w:val="Normal"/>
        <w:numPr>
          <w:ilvl w:val="0"/>
          <w:numId w:val="3"/>
        </w:numPr>
        <w:spacing w:before="0" w:after="200"/>
        <w:ind w:left="0" w:firstLine="284"/>
        <w:contextualSpacing/>
        <w:jc w:val="both"/>
        <w:rPr/>
      </w:pPr>
      <w:r>
        <w:rPr/>
        <w:t xml:space="preserve"> </w:t>
      </w:r>
      <w:r>
        <w:rPr/>
        <w:t xml:space="preserve">ГОСТ  17.5.3.04-83.  Охрана  природы.  Земли.  Общие  требования  к  рекультивации земель. </w:t>
      </w:r>
    </w:p>
    <w:p>
      <w:pPr>
        <w:pStyle w:val="Normal"/>
        <w:numPr>
          <w:ilvl w:val="0"/>
          <w:numId w:val="3"/>
        </w:numPr>
        <w:spacing w:before="0" w:after="200"/>
        <w:ind w:left="0" w:firstLine="284"/>
        <w:contextualSpacing/>
        <w:jc w:val="both"/>
        <w:rPr/>
      </w:pPr>
      <w:r>
        <w:rPr/>
        <w:t xml:space="preserve"> </w:t>
      </w:r>
      <w:r>
        <w:rPr/>
        <w:t xml:space="preserve">ГОСТ 17.5.1.02-85. Охрана природы. Земли. Классификация нарушенных земель для рекультивации. </w:t>
      </w:r>
    </w:p>
    <w:p>
      <w:pPr>
        <w:pStyle w:val="Normal"/>
        <w:numPr>
          <w:ilvl w:val="0"/>
          <w:numId w:val="3"/>
        </w:numPr>
        <w:spacing w:before="0" w:after="200"/>
        <w:ind w:left="0" w:firstLine="284"/>
        <w:contextualSpacing/>
        <w:jc w:val="both"/>
        <w:rPr/>
      </w:pPr>
      <w:r>
        <w:rPr/>
        <w:t xml:space="preserve"> </w:t>
      </w:r>
      <w:r>
        <w:rPr/>
        <w:t xml:space="preserve">ГОСТ 17.5.1.01-83. Охрана природы. Рекультивация земель. Термины и определения. </w:t>
      </w:r>
    </w:p>
    <w:p>
      <w:pPr>
        <w:pStyle w:val="Normal"/>
        <w:numPr>
          <w:ilvl w:val="0"/>
          <w:numId w:val="3"/>
        </w:numPr>
        <w:spacing w:before="0" w:after="200"/>
        <w:ind w:left="0" w:firstLine="284"/>
        <w:contextualSpacing/>
        <w:jc w:val="both"/>
        <w:rPr/>
      </w:pPr>
      <w:r>
        <w:rPr/>
        <w:t xml:space="preserve"> </w:t>
      </w:r>
      <w:r>
        <w:rPr/>
        <w:t xml:space="preserve">ГОСТ 17.1.5.02-80. Охрана природы. Гидросфера. Гигиенические требования к зонам рекреации водных объектов. </w:t>
      </w:r>
    </w:p>
    <w:p>
      <w:pPr>
        <w:pStyle w:val="Normal"/>
        <w:numPr>
          <w:ilvl w:val="0"/>
          <w:numId w:val="3"/>
        </w:numPr>
        <w:spacing w:before="0" w:after="200"/>
        <w:ind w:left="0" w:firstLine="284"/>
        <w:contextualSpacing/>
        <w:jc w:val="both"/>
        <w:rPr/>
      </w:pPr>
      <w:r>
        <w:rPr/>
        <w:t xml:space="preserve"> </w:t>
      </w:r>
      <w:r>
        <w:rPr/>
        <w:t xml:space="preserve">ГОСТ 17.6.3.01-78. Охрана природы. Флора. Охрана и рациональное использование лесов, зеленых зон городов. Общие требования. </w:t>
      </w:r>
    </w:p>
    <w:p>
      <w:pPr>
        <w:pStyle w:val="Normal"/>
        <w:numPr>
          <w:ilvl w:val="0"/>
          <w:numId w:val="3"/>
        </w:numPr>
        <w:spacing w:before="0" w:after="200"/>
        <w:ind w:left="0" w:firstLine="284"/>
        <w:contextualSpacing/>
        <w:jc w:val="both"/>
        <w:rPr/>
      </w:pPr>
      <w:r>
        <w:rPr/>
        <w:t xml:space="preserve"> </w:t>
      </w:r>
      <w:r>
        <w:rPr/>
        <w:t xml:space="preserve">ГОСТ  17.4.3.06-86.  Охрана  природы.  Почвы.  Общие  требования  к  классификации почв по влиянию на них химических загрязняющих веществ. </w:t>
      </w:r>
    </w:p>
    <w:p>
      <w:pPr>
        <w:pStyle w:val="Normal"/>
        <w:numPr>
          <w:ilvl w:val="0"/>
          <w:numId w:val="3"/>
        </w:numPr>
        <w:spacing w:before="0" w:after="200"/>
        <w:ind w:left="0" w:firstLine="284"/>
        <w:contextualSpacing/>
        <w:jc w:val="both"/>
        <w:rPr/>
      </w:pPr>
      <w:r>
        <w:rPr/>
        <w:t xml:space="preserve"> </w:t>
      </w:r>
      <w:r>
        <w:rPr/>
        <w:t xml:space="preserve">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w:t>
      </w:r>
    </w:p>
    <w:p>
      <w:pPr>
        <w:pStyle w:val="Normal"/>
        <w:numPr>
          <w:ilvl w:val="0"/>
          <w:numId w:val="3"/>
        </w:numPr>
        <w:spacing w:before="0" w:after="200"/>
        <w:ind w:left="0" w:firstLine="284"/>
        <w:contextualSpacing/>
        <w:jc w:val="both"/>
        <w:rPr/>
      </w:pPr>
      <w:r>
        <w:rPr/>
        <w:t xml:space="preserve"> </w:t>
      </w:r>
      <w:r>
        <w:rPr/>
        <w:t xml:space="preserve">ГОСТ  Р  52289-2004.  ТСОДД.  Правила  применения  дорожных  знаков,  разметки, светофоров, дорожных ограждений и направляющих устройств. </w:t>
      </w:r>
    </w:p>
    <w:p>
      <w:pPr>
        <w:pStyle w:val="Normal"/>
        <w:numPr>
          <w:ilvl w:val="0"/>
          <w:numId w:val="3"/>
        </w:numPr>
        <w:spacing w:before="0" w:after="200"/>
        <w:ind w:left="0" w:firstLine="284"/>
        <w:contextualSpacing/>
        <w:jc w:val="both"/>
        <w:rPr/>
      </w:pPr>
      <w:r>
        <w:rPr/>
        <w:t xml:space="preserve"> </w:t>
      </w:r>
      <w:r>
        <w:rPr/>
        <w:t xml:space="preserve">ГОСТ Р 52290-2004. ТСОДД. Знаки дорожные. Общие технические требования. </w:t>
      </w:r>
    </w:p>
    <w:p>
      <w:pPr>
        <w:pStyle w:val="Normal"/>
        <w:numPr>
          <w:ilvl w:val="0"/>
          <w:numId w:val="3"/>
        </w:numPr>
        <w:spacing w:before="0" w:after="200"/>
        <w:ind w:left="0" w:firstLine="284"/>
        <w:contextualSpacing/>
        <w:jc w:val="both"/>
        <w:rPr/>
      </w:pPr>
      <w:r>
        <w:rPr/>
        <w:t xml:space="preserve"> </w:t>
      </w:r>
      <w:r>
        <w:rPr/>
        <w:t xml:space="preserve">ГОСТ  Р  52766-2007.  Дороги  автомобильные  общего  пользования.  Элементы обустройства. Общие требования. </w:t>
      </w:r>
    </w:p>
    <w:p>
      <w:pPr>
        <w:pStyle w:val="Normal"/>
        <w:numPr>
          <w:ilvl w:val="0"/>
          <w:numId w:val="3"/>
        </w:numPr>
        <w:spacing w:before="0" w:after="200"/>
        <w:ind w:left="0" w:firstLine="284"/>
        <w:contextualSpacing/>
        <w:jc w:val="both"/>
        <w:rPr/>
      </w:pPr>
      <w:r>
        <w:rPr/>
        <w:t xml:space="preserve">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t>
      </w:r>
    </w:p>
    <w:p>
      <w:pPr>
        <w:pStyle w:val="Normal"/>
        <w:widowControl w:val="false"/>
        <w:tabs>
          <w:tab w:val="left" w:pos="1843" w:leader="none"/>
          <w:tab w:val="left" w:pos="8789" w:leader="none"/>
        </w:tabs>
        <w:spacing w:before="0" w:after="0"/>
        <w:ind w:right="272" w:firstLine="284"/>
        <w:contextualSpacing/>
        <w:jc w:val="both"/>
        <w:rPr>
          <w:color w:val="000000"/>
        </w:rPr>
      </w:pPr>
      <w:r>
        <w:rPr>
          <w:color w:val="000000"/>
        </w:rPr>
      </w:r>
    </w:p>
    <w:p>
      <w:pPr>
        <w:pStyle w:val="Normal"/>
        <w:widowControl w:val="false"/>
        <w:tabs>
          <w:tab w:val="left" w:pos="1843" w:leader="none"/>
          <w:tab w:val="left" w:pos="8789" w:leader="none"/>
        </w:tabs>
        <w:spacing w:before="0" w:after="0"/>
        <w:ind w:right="272" w:firstLine="284"/>
        <w:contextualSpacing/>
        <w:rPr>
          <w:b/>
          <w:b/>
          <w:color w:val="000000"/>
        </w:rPr>
      </w:pPr>
      <w:r>
        <w:rPr>
          <w:b/>
          <w:color w:val="000000"/>
        </w:rPr>
        <w:t>Строительные  и санитарные нормы и правила (СНиП и СанПиН, СП)</w:t>
      </w:r>
    </w:p>
    <w:p>
      <w:pPr>
        <w:pStyle w:val="Normal"/>
        <w:numPr>
          <w:ilvl w:val="0"/>
          <w:numId w:val="3"/>
        </w:numPr>
        <w:spacing w:before="0" w:after="200"/>
        <w:ind w:left="0" w:firstLine="284"/>
        <w:contextualSpacing/>
        <w:jc w:val="both"/>
        <w:rPr/>
      </w:pPr>
      <w:r>
        <w:rPr/>
        <w:t xml:space="preserve">СанПиН 2.2.1/2.1.1.1200-03. Санитарно-защитные зоны и санитарная классификация предприятий, сооружений и иных объектов (в новой редакции с изм. от 25.04.2014). </w:t>
      </w:r>
    </w:p>
    <w:p>
      <w:pPr>
        <w:pStyle w:val="Normal"/>
        <w:numPr>
          <w:ilvl w:val="0"/>
          <w:numId w:val="3"/>
        </w:numPr>
        <w:spacing w:before="0" w:after="200"/>
        <w:ind w:left="0" w:firstLine="284"/>
        <w:contextualSpacing/>
        <w:jc w:val="both"/>
        <w:rPr/>
      </w:pPr>
      <w:r>
        <w:rPr/>
        <w:t xml:space="preserve"> </w:t>
      </w:r>
      <w:r>
        <w:rPr/>
        <w:t xml:space="preserve">СанПиН 2.2.1/2.1.1.1076-01. Гигиенические требования к инсоляции и солнцезащите помещений жилых и общественных зданий и территорий. </w:t>
      </w:r>
    </w:p>
    <w:p>
      <w:pPr>
        <w:pStyle w:val="Normal"/>
        <w:numPr>
          <w:ilvl w:val="0"/>
          <w:numId w:val="3"/>
        </w:numPr>
        <w:spacing w:before="0" w:after="200"/>
        <w:ind w:left="0" w:firstLine="284"/>
        <w:contextualSpacing/>
        <w:jc w:val="both"/>
        <w:rPr/>
      </w:pPr>
      <w:r>
        <w:rPr/>
        <w:t xml:space="preserve">СанПиН  2.1.4.1110-02.  Зоны  санитарной  охраны  источников  водоснабжения  и водопроводов питьевого назначения. </w:t>
      </w:r>
    </w:p>
    <w:p>
      <w:pPr>
        <w:pStyle w:val="Normal"/>
        <w:numPr>
          <w:ilvl w:val="0"/>
          <w:numId w:val="3"/>
        </w:numPr>
        <w:spacing w:before="0" w:after="200"/>
        <w:ind w:left="0" w:firstLine="284"/>
        <w:contextualSpacing/>
        <w:jc w:val="both"/>
        <w:rPr/>
      </w:pPr>
      <w:r>
        <w:rPr/>
        <w:t xml:space="preserve"> </w:t>
      </w:r>
      <w:r>
        <w:rPr/>
        <w:t xml:space="preserve">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pPr>
        <w:pStyle w:val="Normal"/>
        <w:numPr>
          <w:ilvl w:val="0"/>
          <w:numId w:val="3"/>
        </w:numPr>
        <w:spacing w:before="0" w:after="200"/>
        <w:ind w:left="0" w:firstLine="284"/>
        <w:contextualSpacing/>
        <w:jc w:val="both"/>
        <w:rPr/>
      </w:pPr>
      <w:r>
        <w:rPr/>
        <w:t xml:space="preserve">СанПиН 2.1.8/2.2.4.1383-03. Гигиенические требования к размещению и эксплуатации передающих радиотехнических объектов. </w:t>
      </w:r>
    </w:p>
    <w:p>
      <w:pPr>
        <w:pStyle w:val="Normal"/>
        <w:numPr>
          <w:ilvl w:val="0"/>
          <w:numId w:val="3"/>
        </w:numPr>
        <w:spacing w:before="0" w:after="200"/>
        <w:ind w:left="0" w:firstLine="284"/>
        <w:contextualSpacing/>
        <w:jc w:val="both"/>
        <w:rPr/>
      </w:pPr>
      <w:r>
        <w:rPr/>
        <w:t xml:space="preserve"> </w:t>
      </w:r>
      <w:r>
        <w:rPr/>
        <w:t xml:space="preserve">СанПиН  2.1.4.1175-02.  Гигиенические  требования  к  качеству  воды нецентрализованного водоснабжения. Санитарная охрана источников. </w:t>
      </w:r>
    </w:p>
    <w:p>
      <w:pPr>
        <w:pStyle w:val="Normal"/>
        <w:numPr>
          <w:ilvl w:val="0"/>
          <w:numId w:val="3"/>
        </w:numPr>
        <w:spacing w:before="0" w:after="200"/>
        <w:ind w:left="0" w:firstLine="284"/>
        <w:contextualSpacing/>
        <w:jc w:val="both"/>
        <w:rPr/>
      </w:pPr>
      <w:r>
        <w:rPr/>
        <w:t xml:space="preserve"> </w:t>
      </w:r>
      <w:r>
        <w:rPr/>
        <w:t xml:space="preserve">СанПиН  2.4.1.3049-13  Санитарно-эпидемиологические  требования  к  устройству, содержанию и организации режима работы в дошкольных организациях. (утратил силу с 30.07.2013г., заменен СанПин 2.4.1.3049-13 с 15 мая 2013г). </w:t>
      </w:r>
    </w:p>
    <w:p>
      <w:pPr>
        <w:pStyle w:val="Normal"/>
        <w:numPr>
          <w:ilvl w:val="0"/>
          <w:numId w:val="3"/>
        </w:numPr>
        <w:spacing w:before="0" w:after="200"/>
        <w:ind w:left="0" w:firstLine="284"/>
        <w:contextualSpacing/>
        <w:jc w:val="both"/>
        <w:rPr/>
      </w:pPr>
      <w:r>
        <w:rPr/>
        <w:t xml:space="preserve">СНиП 2.04.02-84*. Водоснабжение. Наружные сети и сооружения. </w:t>
      </w:r>
    </w:p>
    <w:p>
      <w:pPr>
        <w:pStyle w:val="Normal"/>
        <w:numPr>
          <w:ilvl w:val="0"/>
          <w:numId w:val="3"/>
        </w:numPr>
        <w:spacing w:before="0" w:after="200"/>
        <w:ind w:left="0" w:firstLine="284"/>
        <w:contextualSpacing/>
        <w:jc w:val="both"/>
        <w:rPr/>
      </w:pPr>
      <w:r>
        <w:rPr/>
        <w:t xml:space="preserve"> </w:t>
      </w:r>
      <w:r>
        <w:rPr/>
        <w:t xml:space="preserve">СНиП 2.04.03-85. Канализация. Наружные сети и сооружения. </w:t>
      </w:r>
    </w:p>
    <w:p>
      <w:pPr>
        <w:pStyle w:val="Normal"/>
        <w:numPr>
          <w:ilvl w:val="0"/>
          <w:numId w:val="3"/>
        </w:numPr>
        <w:spacing w:before="0" w:after="200"/>
        <w:ind w:left="0" w:firstLine="284"/>
        <w:contextualSpacing/>
        <w:jc w:val="both"/>
        <w:rPr/>
      </w:pPr>
      <w:r>
        <w:rPr/>
        <w:t xml:space="preserve"> </w:t>
      </w:r>
      <w:r>
        <w:rPr/>
        <w:t xml:space="preserve">СНиП 41-02-2003. Тепловые сети. </w:t>
      </w:r>
    </w:p>
    <w:p>
      <w:pPr>
        <w:pStyle w:val="Normal"/>
        <w:numPr>
          <w:ilvl w:val="0"/>
          <w:numId w:val="3"/>
        </w:numPr>
        <w:spacing w:before="0" w:after="200"/>
        <w:ind w:left="0" w:firstLine="284"/>
        <w:contextualSpacing/>
        <w:jc w:val="both"/>
        <w:rPr/>
      </w:pPr>
      <w:r>
        <w:rPr/>
        <w:t xml:space="preserve"> </w:t>
      </w:r>
      <w:r>
        <w:rPr/>
        <w:t xml:space="preserve">СП 62.13330.2011. Свод правил. Газораспределительные системы. Актуализированная редакция СНиП 42-01-2002. </w:t>
      </w:r>
    </w:p>
    <w:p>
      <w:pPr>
        <w:pStyle w:val="Normal"/>
        <w:numPr>
          <w:ilvl w:val="0"/>
          <w:numId w:val="3"/>
        </w:numPr>
        <w:spacing w:before="0" w:after="200"/>
        <w:ind w:left="0" w:firstLine="284"/>
        <w:contextualSpacing/>
        <w:jc w:val="both"/>
        <w:rPr/>
      </w:pPr>
      <w:r>
        <w:rPr/>
        <w:t xml:space="preserve"> </w:t>
      </w:r>
      <w:r>
        <w:rPr/>
        <w:t xml:space="preserve">СНиП 2.05.02-85. Автомобильные дороги. </w:t>
      </w:r>
    </w:p>
    <w:p>
      <w:pPr>
        <w:pStyle w:val="Normal"/>
        <w:numPr>
          <w:ilvl w:val="0"/>
          <w:numId w:val="3"/>
        </w:numPr>
        <w:spacing w:before="0" w:after="200"/>
        <w:ind w:left="0" w:firstLine="284"/>
        <w:contextualSpacing/>
        <w:jc w:val="both"/>
        <w:rPr/>
      </w:pPr>
      <w:r>
        <w:rPr/>
        <w:t xml:space="preserve">СНиП 2.05.06-85*. Магистральные трубопроводы. </w:t>
      </w:r>
    </w:p>
    <w:p>
      <w:pPr>
        <w:pStyle w:val="Normal"/>
        <w:numPr>
          <w:ilvl w:val="0"/>
          <w:numId w:val="3"/>
        </w:numPr>
        <w:spacing w:before="0" w:after="200"/>
        <w:ind w:left="0" w:firstLine="284"/>
        <w:contextualSpacing/>
        <w:jc w:val="both"/>
        <w:rPr/>
      </w:pPr>
      <w:r>
        <w:rPr/>
        <w:t xml:space="preserve">СП  42.13330.2011.  Свод  правил.  Градостроительство.  Планировка  и  застройка городских и сельских поселений. Актуализированная редакция СНиП 2.07.01-89*. </w:t>
      </w:r>
    </w:p>
    <w:p>
      <w:pPr>
        <w:pStyle w:val="Normal"/>
        <w:numPr>
          <w:ilvl w:val="0"/>
          <w:numId w:val="3"/>
        </w:numPr>
        <w:spacing w:before="0" w:after="200"/>
        <w:ind w:left="0" w:firstLine="284"/>
        <w:contextualSpacing/>
        <w:jc w:val="both"/>
        <w:rPr/>
      </w:pPr>
      <w:r>
        <w:rPr/>
        <w:t xml:space="preserve"> </w:t>
      </w:r>
      <w:r>
        <w:rPr/>
        <w:t xml:space="preserve">СНиП 31-06-2009. Общественные здания и сооружения. </w:t>
      </w:r>
    </w:p>
    <w:p>
      <w:pPr>
        <w:pStyle w:val="Normal"/>
        <w:numPr>
          <w:ilvl w:val="0"/>
          <w:numId w:val="3"/>
        </w:numPr>
        <w:spacing w:before="0" w:after="200"/>
        <w:ind w:left="0" w:firstLine="284"/>
        <w:contextualSpacing/>
        <w:jc w:val="both"/>
        <w:rPr/>
      </w:pPr>
      <w:r>
        <w:rPr/>
        <w:t xml:space="preserve">СНиП 21-01-97*. Пожарная безопасность зданий и сооружений. </w:t>
      </w:r>
    </w:p>
    <w:p>
      <w:pPr>
        <w:pStyle w:val="Normal"/>
        <w:numPr>
          <w:ilvl w:val="0"/>
          <w:numId w:val="3"/>
        </w:numPr>
        <w:spacing w:before="0" w:after="200"/>
        <w:ind w:left="0" w:firstLine="284"/>
        <w:contextualSpacing/>
        <w:jc w:val="both"/>
        <w:rPr/>
      </w:pPr>
      <w:r>
        <w:rPr/>
        <w:t xml:space="preserve">СП 31-110-2003. Проектирование и монтаж электроустановок жилых и общественных зданий. </w:t>
      </w:r>
    </w:p>
    <w:p>
      <w:pPr>
        <w:pStyle w:val="Normal"/>
        <w:numPr>
          <w:ilvl w:val="0"/>
          <w:numId w:val="3"/>
        </w:numPr>
        <w:spacing w:before="0" w:after="200"/>
        <w:ind w:left="0" w:firstLine="284"/>
        <w:contextualSpacing/>
        <w:jc w:val="both"/>
        <w:rPr/>
      </w:pPr>
      <w:r>
        <w:rPr/>
        <w:t xml:space="preserve">ВСН  62-91*.  Проектирование  среды  жизнедеятельности  с  учетом  потребностей инвалидов и маломобильных групп населения. </w:t>
      </w:r>
    </w:p>
    <w:p>
      <w:pPr>
        <w:pStyle w:val="Normal"/>
        <w:numPr>
          <w:ilvl w:val="0"/>
          <w:numId w:val="3"/>
        </w:numPr>
        <w:spacing w:before="0" w:after="200"/>
        <w:ind w:left="0" w:firstLine="284"/>
        <w:contextualSpacing/>
        <w:jc w:val="both"/>
        <w:rPr/>
      </w:pPr>
      <w:r>
        <w:rPr/>
        <w:t xml:space="preserve">СанПиН  2.1.2882-11.  Гигиенические  требования  к  размещению,  устройству  и содержанию кладбищ, зданий и сооружений похоронного назначения (в ред. постановления администрации г. Иркутска от 10.08.2012 N 031-06-1618/12). </w:t>
      </w:r>
    </w:p>
    <w:p>
      <w:pPr>
        <w:pStyle w:val="Normal"/>
        <w:numPr>
          <w:ilvl w:val="0"/>
          <w:numId w:val="3"/>
        </w:numPr>
        <w:spacing w:before="0" w:after="200"/>
        <w:ind w:left="0" w:firstLine="284"/>
        <w:contextualSpacing/>
        <w:jc w:val="both"/>
        <w:rPr/>
      </w:pPr>
      <w:r>
        <w:rPr/>
        <w:t xml:space="preserve"> </w:t>
      </w:r>
      <w:r>
        <w:rPr/>
        <w:t xml:space="preserve">СП 2.1.7.1038-01. Гигиенические требования к устройству и содержанию полигонов для твердых бытовых отходов. </w:t>
      </w:r>
    </w:p>
    <w:p>
      <w:pPr>
        <w:pStyle w:val="Normal"/>
        <w:numPr>
          <w:ilvl w:val="0"/>
          <w:numId w:val="3"/>
        </w:numPr>
        <w:spacing w:before="0" w:after="200"/>
        <w:ind w:left="0" w:firstLine="284"/>
        <w:contextualSpacing/>
        <w:jc w:val="both"/>
        <w:rPr/>
      </w:pPr>
      <w:r>
        <w:rPr/>
        <w:t xml:space="preserve"> </w:t>
      </w:r>
      <w:r>
        <w:rPr/>
        <w:t xml:space="preserve">СП  30-102-99.  Планировка  и  застройка  территорий  малоэтажного  жилищного строительства. </w:t>
      </w:r>
    </w:p>
    <w:p>
      <w:pPr>
        <w:pStyle w:val="Normal"/>
        <w:numPr>
          <w:ilvl w:val="0"/>
          <w:numId w:val="3"/>
        </w:numPr>
        <w:spacing w:before="0" w:after="200"/>
        <w:ind w:left="0" w:firstLine="284"/>
        <w:contextualSpacing/>
        <w:jc w:val="both"/>
        <w:rPr/>
      </w:pPr>
      <w:r>
        <w:rPr/>
        <w:t xml:space="preserve"> </w:t>
      </w:r>
      <w:r>
        <w:rPr/>
        <w:t xml:space="preserve">СНиП 2.04.01-85*. Внутренний водопровод и канализация зданий. </w:t>
      </w:r>
    </w:p>
    <w:p>
      <w:pPr>
        <w:pStyle w:val="Normal"/>
        <w:numPr>
          <w:ilvl w:val="0"/>
          <w:numId w:val="3"/>
        </w:numPr>
        <w:spacing w:before="0" w:after="200"/>
        <w:ind w:left="0" w:firstLine="284"/>
        <w:contextualSpacing/>
        <w:jc w:val="both"/>
        <w:rPr/>
      </w:pPr>
      <w:r>
        <w:rPr/>
        <w:t xml:space="preserve"> </w:t>
      </w:r>
      <w:r>
        <w:rPr/>
        <w:t xml:space="preserve">СНиП 41-01-2003. Отопление, вентиляция и кондиционирование. </w:t>
      </w:r>
    </w:p>
    <w:p>
      <w:pPr>
        <w:pStyle w:val="Normal"/>
        <w:numPr>
          <w:ilvl w:val="0"/>
          <w:numId w:val="3"/>
        </w:numPr>
        <w:spacing w:before="0" w:after="200"/>
        <w:ind w:left="0" w:firstLine="284"/>
        <w:contextualSpacing/>
        <w:jc w:val="both"/>
        <w:rPr/>
      </w:pPr>
      <w:r>
        <w:rPr>
          <w:color w:val="000000"/>
        </w:rPr>
        <w:t xml:space="preserve"> </w:t>
      </w:r>
      <w:r>
        <w:rPr/>
        <w:t xml:space="preserve"> </w:t>
      </w:r>
      <w:r>
        <w:rPr/>
        <w:t xml:space="preserve">СП  44.13330.2011.  Свод  правил.  Административные  и  бытовые  здания. Актуализированная редакция СНиП 2.09.04-87. </w:t>
      </w:r>
    </w:p>
    <w:p>
      <w:pPr>
        <w:pStyle w:val="Normal"/>
        <w:numPr>
          <w:ilvl w:val="0"/>
          <w:numId w:val="3"/>
        </w:numPr>
        <w:spacing w:before="0" w:after="200"/>
        <w:ind w:left="0" w:firstLine="284"/>
        <w:contextualSpacing/>
        <w:jc w:val="both"/>
        <w:rPr/>
      </w:pPr>
      <w:r>
        <w:rPr/>
        <w:t xml:space="preserve">СанПиН 2.1.7.1322-03. Гигиенические требования к размещению и обезвреживанию отходов производства и потребления. Санитарно-эпидемиологические правила и нормативы. </w:t>
      </w:r>
    </w:p>
    <w:p>
      <w:pPr>
        <w:pStyle w:val="Normal"/>
        <w:numPr>
          <w:ilvl w:val="0"/>
          <w:numId w:val="3"/>
        </w:numPr>
        <w:spacing w:before="0" w:after="200"/>
        <w:ind w:left="0" w:firstLine="284"/>
        <w:contextualSpacing/>
        <w:jc w:val="both"/>
        <w:rPr/>
      </w:pPr>
      <w:r>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pPr>
        <w:pStyle w:val="Normal"/>
        <w:numPr>
          <w:ilvl w:val="0"/>
          <w:numId w:val="3"/>
        </w:numPr>
        <w:spacing w:before="0" w:after="200"/>
        <w:ind w:left="0" w:firstLine="284"/>
        <w:contextualSpacing/>
        <w:jc w:val="both"/>
        <w:rPr/>
      </w:pPr>
      <w:r>
        <w:rPr/>
        <w:t xml:space="preserve">  </w:t>
      </w:r>
      <w:r>
        <w:rPr/>
        <w:t xml:space="preserve">СП  30-102-99  Планировка  и  застройка  территорий  малоэтажного  жилищного строительства. </w:t>
      </w:r>
    </w:p>
    <w:p>
      <w:pPr>
        <w:pStyle w:val="Normal"/>
        <w:numPr>
          <w:ilvl w:val="0"/>
          <w:numId w:val="3"/>
        </w:numPr>
        <w:spacing w:before="0" w:after="200"/>
        <w:ind w:left="0" w:firstLine="284"/>
        <w:contextualSpacing/>
        <w:jc w:val="both"/>
        <w:rPr/>
      </w:pPr>
      <w:r>
        <w:rPr/>
        <w:t xml:space="preserve"> </w:t>
      </w:r>
      <w:r>
        <w:rPr/>
        <w:t xml:space="preserve">СанПиН  42-128-4690-88  Санитарные  правила  содержания  территорий  населенных мест. </w:t>
      </w:r>
    </w:p>
    <w:p>
      <w:pPr>
        <w:pStyle w:val="Normal"/>
        <w:widowControl w:val="false"/>
        <w:tabs>
          <w:tab w:val="left" w:pos="1843" w:leader="none"/>
          <w:tab w:val="left" w:pos="8789" w:leader="none"/>
        </w:tabs>
        <w:spacing w:before="0" w:after="0"/>
        <w:ind w:right="272" w:hanging="0"/>
        <w:contextualSpacing/>
        <w:jc w:val="both"/>
        <w:rPr/>
      </w:pPr>
      <w:r>
        <w:rPr/>
      </w:r>
    </w:p>
    <w:p>
      <w:pPr>
        <w:pStyle w:val="Normal"/>
        <w:jc w:val="both"/>
        <w:rPr/>
      </w:pPr>
      <w:r>
        <w:rPr/>
      </w:r>
    </w:p>
    <w:p>
      <w:pPr>
        <w:pStyle w:val="Normal"/>
        <w:numPr>
          <w:ilvl w:val="0"/>
          <w:numId w:val="0"/>
        </w:numPr>
        <w:ind w:firstLine="720"/>
        <w:jc w:val="center"/>
        <w:outlineLvl w:val="2"/>
        <w:rPr>
          <w:b/>
          <w:b/>
        </w:rPr>
      </w:pPr>
      <w:r>
        <w:rPr>
          <w:b/>
        </w:rPr>
        <w:t>Археологические достопримечательные места Боханского района</w:t>
      </w:r>
    </w:p>
    <w:p>
      <w:pPr>
        <w:pStyle w:val="Normal"/>
        <w:numPr>
          <w:ilvl w:val="0"/>
          <w:numId w:val="0"/>
        </w:numPr>
        <w:ind w:firstLine="720"/>
        <w:jc w:val="center"/>
        <w:outlineLvl w:val="2"/>
        <w:rPr>
          <w:b/>
          <w:b/>
        </w:rPr>
      </w:pPr>
      <w:r>
        <w:rPr>
          <w:b/>
        </w:rPr>
      </w:r>
    </w:p>
    <w:p>
      <w:pPr>
        <w:pStyle w:val="Normal"/>
        <w:ind w:firstLine="709"/>
        <w:jc w:val="both"/>
        <w:rPr/>
      </w:pPr>
      <w:r>
        <w:rPr/>
        <w:t xml:space="preserve">На территории Боханского  района выделены 137 объектов культурного (археологического) наследия – памятников и ансамблей, в том числе по категориям охраны: 1 объект федерального значения (Постановление Совета Министров РСФСР от 30.08.1960 г. №1327), 114 объектов археологического наследия местного (регионального) значения (Постановление главы администрации Усть-Ордынского Бурятского автономного округа от 15.05.2002 г. №113-п), 22 выявленных объектов археологического наследия, в том числе 3 археологических достопримечательных места: определены и закоординированы границы 57 памятников и ансамблей, 3 достопримечательных мест; </w:t>
      </w:r>
    </w:p>
    <w:p>
      <w:pPr>
        <w:pStyle w:val="Normal"/>
        <w:ind w:firstLine="709"/>
        <w:jc w:val="both"/>
        <w:rPr/>
      </w:pPr>
      <w:r>
        <w:rPr/>
        <w:t xml:space="preserve">- 99 объектов культурного наследия - истории, архитектуры, в том числе по категориям охраны: 3 объекта федерального значения, 10 объектов регионального значения, 85 выявленных объектов, 1 объект, обладающий признаками объекта культурного наследия. Определены территории с особыми условиями использования, в границах которых  требуется регулирование застройки и хозяйственной деятельности государственным органом охраны объектов культурного наследия. К данным территориями отнесены территории в границах достопримечательных мест и территории, обладающие признаками наличия объектов археологического наследия. Для достопримечательных мест устанавливается регламент ограничения строительной и хозяйственной деятельности в форме проведения археологического обследования (экспертизы) территории с целью определения сохранности, уточнения границ распространения и историко-культурной значимости культурного слоя. </w:t>
      </w:r>
    </w:p>
    <w:p>
      <w:pPr>
        <w:pStyle w:val="Normal"/>
        <w:ind w:firstLine="709"/>
        <w:jc w:val="both"/>
        <w:rPr/>
      </w:pPr>
      <w:r>
        <w:rPr/>
        <w:t>Для территорий, обладающих признаками наличия объектов археологического наследия устанавливается регламент ограничения строительной и хозяйственной деятельности в форме  проведения археологического обследования с целью определения наличия объекта археологического наследия, сохранности, и историко-культурной значимости   культурного слоя.</w:t>
      </w:r>
    </w:p>
    <w:p>
      <w:pPr>
        <w:pStyle w:val="Normal"/>
        <w:ind w:firstLine="709"/>
        <w:jc w:val="both"/>
        <w:rPr/>
      </w:pPr>
      <w:r>
        <w:rPr/>
        <w:t xml:space="preserve">На основании заключения о результатах обследования государственный орган охраны объектов культурного наследия определяет режим дальнейшего использования участка: </w:t>
      </w:r>
    </w:p>
    <w:p>
      <w:pPr>
        <w:pStyle w:val="Normal"/>
        <w:ind w:firstLine="709"/>
        <w:jc w:val="both"/>
        <w:rPr/>
      </w:pPr>
      <w:r>
        <w:rPr/>
        <w:t>-  в случае не информативности культурного слоя и отсутствия  предмета охраны выдается разрешение на хозяйственное освоение территории;</w:t>
      </w:r>
    </w:p>
    <w:p>
      <w:pPr>
        <w:pStyle w:val="Normal"/>
        <w:ind w:firstLine="709"/>
        <w:jc w:val="both"/>
        <w:rPr/>
      </w:pPr>
      <w:r>
        <w:rPr/>
        <w:t xml:space="preserve">- в случае наличия предмета охраны хозяйственное освоение запрещается, проводятся мероприятия по обеспечению сохранности объекта археологического наследия. </w:t>
      </w:r>
    </w:p>
    <w:p>
      <w:pPr>
        <w:pStyle w:val="Normal"/>
        <w:ind w:firstLine="709"/>
        <w:jc w:val="both"/>
        <w:rPr/>
      </w:pPr>
      <w:r>
        <w:rPr/>
        <w:t>По мере получения результатов археологического обследования, обследованные участки либо будут исключаться из состава территорий с особыми условиями использования, либо, в случае подтверждения наличия  (выявления) объекта археологического наследия, государственным органом по охране объектов культурного наследия будет приниматься  решение по определению конкретных мероприятий для обеспечения сохранности данного археологического объекта.</w:t>
      </w:r>
    </w:p>
    <w:p>
      <w:pPr>
        <w:pStyle w:val="Normal"/>
        <w:ind w:firstLine="709"/>
        <w:jc w:val="both"/>
        <w:rPr/>
      </w:pPr>
      <w:r>
        <w:rPr/>
      </w:r>
    </w:p>
    <w:p>
      <w:pPr>
        <w:pStyle w:val="Normal"/>
        <w:ind w:firstLine="709"/>
        <w:jc w:val="both"/>
        <w:rPr>
          <w:b/>
          <w:b/>
        </w:rPr>
      </w:pPr>
      <w:r>
        <w:rPr>
          <w:b/>
        </w:rPr>
        <w:t>Памятники истории и архитектуры</w:t>
      </w:r>
    </w:p>
    <w:p>
      <w:pPr>
        <w:pStyle w:val="Normal"/>
        <w:ind w:firstLine="720"/>
        <w:jc w:val="both"/>
        <w:rPr/>
      </w:pPr>
      <w:r>
        <w:rPr/>
      </w:r>
    </w:p>
    <w:p>
      <w:pPr>
        <w:pStyle w:val="Normal"/>
        <w:ind w:firstLine="720"/>
        <w:jc w:val="both"/>
        <w:rPr/>
      </w:pPr>
      <w:r>
        <w:rPr/>
        <w:t xml:space="preserve">- </w:t>
      </w:r>
      <w:r>
        <w:rPr>
          <w:b/>
        </w:rPr>
        <w:t>МО «Александровское»</w:t>
      </w:r>
      <w:r>
        <w:rPr/>
        <w:t xml:space="preserve"> обладает значительным потенциалом для развития </w:t>
      </w:r>
      <w:r>
        <w:rPr>
          <w:i/>
        </w:rPr>
        <w:t>туристической деятельности</w:t>
      </w:r>
      <w:r>
        <w:rPr/>
        <w:t>: уникальное историко-культурное наследие дополняется  природными рекреационными ресурсами.</w:t>
      </w:r>
    </w:p>
    <w:p>
      <w:pPr>
        <w:pStyle w:val="Normal"/>
        <w:ind w:firstLine="708"/>
        <w:jc w:val="both"/>
        <w:rPr>
          <w:b/>
          <w:b/>
          <w:bCs/>
        </w:rPr>
      </w:pPr>
      <w:r>
        <w:rPr/>
        <w:t xml:space="preserve">Главный объект туристического внимания расположен в селе Александровское –историко-архитектурный комплекс «Александровский централ», на месте бывшей тюрьмы. </w:t>
      </w:r>
    </w:p>
    <w:p>
      <w:pPr>
        <w:pStyle w:val="Normal"/>
        <w:ind w:firstLine="709"/>
        <w:jc w:val="both"/>
        <w:rPr/>
      </w:pPr>
      <w:r>
        <w:rPr/>
        <w:t>«Александровский централ» был открыт в 1873г. как уголовная тюрьма, с 1891г. использовался для содержания политзаключенных. С 1904г. – военный госпиталь, с 1906г. – вновь тюрьма. В феврале 1917г. освобождены все заключенные. В 1918-1819гг., в период правления А.В.Колчака – это была тюрьма с особо жестким режимом. В начале 1920-х годов - концлагерь, затем до 1950-х годов – тюремный изолятор. Последние заключенные японские военнопленные покинули Александровский централ в 1956г. С советских времен здесь сохранилась психиатрическая больница.</w:t>
      </w:r>
    </w:p>
    <w:p>
      <w:pPr>
        <w:pStyle w:val="Normal"/>
        <w:ind w:firstLine="709"/>
        <w:jc w:val="both"/>
        <w:rPr/>
      </w:pPr>
      <w:r>
        <w:rPr/>
        <w:t>В советское время через тюрьму в с.Александровское прошло множество известных политзаключенных, в том числе Ф.Дзержинский, В.Радус-Занкевич, М.Фрунзе, Г.Орджоникидзе.</w:t>
      </w:r>
    </w:p>
    <w:p>
      <w:pPr>
        <w:pStyle w:val="Normal"/>
        <w:ind w:firstLine="709"/>
        <w:jc w:val="both"/>
        <w:rPr/>
      </w:pPr>
      <w:r>
        <w:rPr/>
        <w:t xml:space="preserve">Помимо здания тюрьмы в списках объектов культурного наследия на территории села Александровское числятся множество жилых домов дореволюционной постройки. </w:t>
      </w:r>
    </w:p>
    <w:p>
      <w:pPr>
        <w:pStyle w:val="Normal"/>
        <w:ind w:firstLine="709"/>
        <w:jc w:val="both"/>
        <w:rPr/>
      </w:pPr>
      <w:r>
        <w:rPr/>
        <w:t>Село Александровское имеет все предпосылки для включения в общие культурно-познавательные маршруты  Сибири. На территории Боханского района возможно объединение общим кольцевым маршрутом с местами пребывания декабристов</w:t>
      </w:r>
    </w:p>
    <w:p>
      <w:pPr>
        <w:pStyle w:val="Normal"/>
        <w:ind w:firstLine="720"/>
        <w:jc w:val="both"/>
        <w:rPr/>
      </w:pPr>
      <w:r>
        <w:rPr/>
        <w:t>Полноценная организация туристической деятельности в МО «Александровское»  может быть связана только с реконструкцией зданий «Александровского централа», возможной музеефикацией объекта с созданием постоянной экспозиции. На данный момент планов по реконструкции комплекса в федеральных и региональных целевых программах нет.</w:t>
      </w:r>
    </w:p>
    <w:p>
      <w:pPr>
        <w:pStyle w:val="Normal"/>
        <w:ind w:firstLine="708"/>
        <w:jc w:val="both"/>
        <w:rPr/>
      </w:pPr>
      <w:r>
        <w:rPr/>
        <w:t>В сочетании с развитием экскурсионно-туристической деятельности прибрежная зона р.Ангары, которая при соответствующей подготовке может служить зоной отдыха, являет возможный резерв развития экономики муниципального образования.</w:t>
      </w:r>
    </w:p>
    <w:p>
      <w:pPr>
        <w:pStyle w:val="Normal"/>
        <w:ind w:firstLine="708"/>
        <w:jc w:val="both"/>
        <w:rPr>
          <w:b/>
          <w:b/>
          <w:bCs/>
        </w:rPr>
      </w:pPr>
      <w:r>
        <w:rPr>
          <w:b/>
          <w:bCs/>
        </w:rPr>
      </w:r>
    </w:p>
    <w:p>
      <w:pPr>
        <w:pStyle w:val="Normal"/>
        <w:ind w:firstLine="709"/>
        <w:jc w:val="both"/>
        <w:rPr/>
      </w:pPr>
      <w:r>
        <w:rPr/>
        <w:t xml:space="preserve">- </w:t>
      </w:r>
      <w:r>
        <w:rPr>
          <w:b/>
        </w:rPr>
        <w:t>МО «Олонки»</w:t>
      </w:r>
      <w:r>
        <w:rPr/>
        <w:t xml:space="preserve"> обладает значительным потенциалом для развития </w:t>
      </w:r>
      <w:r>
        <w:rPr>
          <w:i/>
        </w:rPr>
        <w:t>туристической деятельности</w:t>
      </w:r>
      <w:r>
        <w:rPr/>
        <w:t>: уникальное историко-культурное наследие дополняется  природными рекреационными ресурсами.</w:t>
      </w:r>
    </w:p>
    <w:p>
      <w:pPr>
        <w:pStyle w:val="Normal"/>
        <w:ind w:firstLine="709"/>
        <w:jc w:val="both"/>
        <w:rPr/>
      </w:pPr>
      <w:r>
        <w:rPr/>
        <w:t xml:space="preserve">Развитие познавательного туризма связано с историей пребывания на данной территории в 19 веке «первого-декабриста» Раевского В.Ф. </w:t>
      </w:r>
    </w:p>
    <w:p>
      <w:pPr>
        <w:pStyle w:val="Normal"/>
        <w:ind w:firstLine="709"/>
        <w:jc w:val="both"/>
        <w:rPr/>
      </w:pPr>
      <w:r>
        <w:rPr/>
        <w:t>В селе Олонки с 1966 года работает музей им. В.Ф. Раевского. В советские годы музей пользовался всесоюзной известностью, в том числе, за счет подробного представления быта декабристов в ссылке. Музей хранит богатейшую коллекцию по этнографии, археологии, истории края. Экспозиция отражает жизнь декабриста В.Ф. Раевского в Сибирской ссылке. Сегодня фонды музея насчитывают более 4 тысяч уникальных экспонатов.</w:t>
      </w:r>
    </w:p>
    <w:p>
      <w:pPr>
        <w:pStyle w:val="Normal"/>
        <w:ind w:firstLine="709"/>
        <w:jc w:val="both"/>
        <w:rPr/>
      </w:pPr>
      <w:r>
        <w:rPr/>
        <w:t>Сохранилась усадьба и могила Раевского. Данные объекты находятся на государственной охране и представляет исторический и архитектурный интерес.</w:t>
      </w:r>
    </w:p>
    <w:p>
      <w:pPr>
        <w:pStyle w:val="Normal"/>
        <w:ind w:firstLine="709"/>
        <w:jc w:val="both"/>
        <w:rPr/>
      </w:pPr>
      <w:r>
        <w:rPr/>
        <w:t>Село Олонки имеет все предпосылки для включения в общие культурно-познавательные маршруты  Сибири. На территории Боханского района возможно объединение общим кольцевым маршрутом с другими местами пребывания декабристов, а также с бывшей тюрьмой в с.Александровское.</w:t>
      </w:r>
    </w:p>
    <w:p>
      <w:pPr>
        <w:pStyle w:val="Normal"/>
        <w:ind w:firstLine="709"/>
        <w:jc w:val="both"/>
        <w:rPr>
          <w:b/>
          <w:b/>
          <w:bCs/>
        </w:rPr>
      </w:pPr>
      <w:r>
        <w:rPr/>
        <w:t xml:space="preserve">В сочетании с развитием экскурсионно-туристической деятельности прибрежная зона р.Ангары, которая при соответствующей подготовке может служить зоной отдыха, являет возможный резерв развития экономики поселения </w:t>
      </w:r>
    </w:p>
    <w:p>
      <w:pPr>
        <w:pStyle w:val="Normal"/>
        <w:ind w:firstLine="709"/>
        <w:jc w:val="both"/>
        <w:rPr>
          <w:b/>
          <w:b/>
          <w:i/>
          <w:i/>
        </w:rPr>
      </w:pPr>
      <w:r>
        <w:rPr>
          <w:b/>
          <w:i/>
        </w:rPr>
      </w:r>
    </w:p>
    <w:p>
      <w:pPr>
        <w:pStyle w:val="Normal"/>
        <w:ind w:firstLine="708"/>
        <w:jc w:val="both"/>
        <w:rPr>
          <w:b/>
          <w:b/>
          <w:bCs/>
        </w:rPr>
      </w:pPr>
      <w:r>
        <w:rPr>
          <w:b/>
          <w:i/>
        </w:rPr>
        <w:t>-</w:t>
      </w:r>
      <w:r>
        <w:rPr>
          <w:b/>
        </w:rPr>
        <w:t>МО «Каменка»</w:t>
      </w:r>
      <w:r>
        <w:rPr/>
        <w:t xml:space="preserve"> обладает значительным потенциалом для развития </w:t>
      </w:r>
      <w:r>
        <w:rPr>
          <w:i/>
        </w:rPr>
        <w:t>туристической деятельности</w:t>
      </w:r>
      <w:r>
        <w:rPr/>
        <w:t xml:space="preserve"> на базе природных рекреационных ресурсов. Прибрежная зона р.Ангары при соответствующей подготовке может служить зоной отдыха, что являет возможный резерв развития экономики МО «Каменка».</w:t>
      </w:r>
    </w:p>
    <w:p>
      <w:pPr>
        <w:pStyle w:val="Normal"/>
        <w:ind w:firstLine="708"/>
        <w:jc w:val="both"/>
        <w:rPr/>
      </w:pPr>
      <w:r>
        <w:rPr/>
        <w:t>Одной из наиболее интересных и важных тем для раскрытия в познавательном туризме  Боханского района является связь населенных пунктов с именами ссыльных переселенцев-декабристов. В с.Каменка отбывал ссылку - И.И.Иванов.</w:t>
      </w:r>
    </w:p>
    <w:p>
      <w:pPr>
        <w:pStyle w:val="Normal"/>
        <w:ind w:firstLine="708"/>
        <w:jc w:val="both"/>
        <w:rPr/>
      </w:pPr>
      <w:r>
        <w:rPr/>
        <w:t>На территории МО «Каменка» организован однодневный туристический маршрут, в него входит посещение памятника героям Гражданской войны, горы «Меркушка», живописного места впадения р.Иды в р.Ангару  с посещением и осмотром краеведческого музея. Наличие р.Ангары, пригодной для развития водного отдыха и водно-моторного спорта, существенно повышает природно-ресурсные возможности МО «Каменка».</w:t>
      </w:r>
    </w:p>
    <w:p>
      <w:pPr>
        <w:pStyle w:val="Normal"/>
        <w:ind w:firstLine="708"/>
        <w:jc w:val="both"/>
        <w:rPr>
          <w:b/>
          <w:b/>
          <w:i/>
          <w:i/>
        </w:rPr>
      </w:pPr>
      <w:r>
        <w:rPr>
          <w:b/>
          <w:i/>
        </w:rPr>
      </w:r>
    </w:p>
    <w:p>
      <w:pPr>
        <w:pStyle w:val="Normal"/>
        <w:spacing w:lineRule="auto" w:line="264"/>
        <w:ind w:firstLine="720"/>
        <w:jc w:val="both"/>
        <w:rPr/>
      </w:pPr>
      <w:r>
        <w:rPr>
          <w:b/>
        </w:rPr>
        <w:t>МО «Шаралдай»</w:t>
      </w:r>
      <w:r>
        <w:rPr/>
        <w:t xml:space="preserve"> расположено на землях исторического освоения юга Иркутской области.</w:t>
      </w:r>
    </w:p>
    <w:p>
      <w:pPr>
        <w:pStyle w:val="Normal"/>
        <w:spacing w:lineRule="auto" w:line="264"/>
        <w:ind w:firstLine="720"/>
        <w:jc w:val="both"/>
        <w:rPr/>
      </w:pPr>
      <w:r>
        <w:rPr/>
        <w:t xml:space="preserve">Еще задолго до прихода в Прибайкалье русских эта территория уже была заселена. Коренное население  - буряты. Конец 17 и первая половина 18 в. - время массового наплыва русских переселенцев. </w:t>
      </w:r>
    </w:p>
    <w:p>
      <w:pPr>
        <w:pStyle w:val="Normal"/>
        <w:spacing w:lineRule="auto" w:line="264"/>
        <w:ind w:firstLine="720"/>
        <w:jc w:val="both"/>
        <w:rPr/>
      </w:pPr>
      <w:r>
        <w:rPr/>
        <w:t xml:space="preserve">Одна из главных особенностей заселения  территории заключалась в том, что здесь в отличие от многих других районов страны на одной ограниченной по сибирским масштабам территории происходил рост и развитие, как русского населения, так и бурятского. Буряты занимали места, наиболее удобные с точки зрения экстенсивного пастбищного скотоводства – так на территории современного Боханского района размещались бурятские улусы в долине р.Ида. </w:t>
      </w:r>
    </w:p>
    <w:p>
      <w:pPr>
        <w:pStyle w:val="Normal"/>
        <w:spacing w:lineRule="auto" w:line="264"/>
        <w:ind w:firstLine="720"/>
        <w:jc w:val="both"/>
        <w:rPr/>
      </w:pPr>
      <w:r>
        <w:rPr/>
        <w:t>В царское и советское время на эту территорию переселялись добровольно и принудительно крестьянские семьи из Украины, центральных регионов России, Прибалтики.  Во время столыпинских реформ  в деревню Вершина переселялись крестьяне из Польши, потомки которых до сих пор сохраняют в этих местах национальные традиции, католическую веру, язык.</w:t>
      </w:r>
    </w:p>
    <w:p>
      <w:pPr>
        <w:pStyle w:val="Normal"/>
        <w:ind w:firstLine="708"/>
        <w:jc w:val="both"/>
        <w:rPr>
          <w:rFonts w:eastAsia="Calibri"/>
          <w:bCs/>
          <w:i/>
          <w:i/>
          <w:lang w:eastAsia="en-US"/>
        </w:rPr>
      </w:pPr>
      <w:r>
        <w:rPr>
          <w:rFonts w:eastAsia="Calibri"/>
          <w:bCs/>
          <w:i/>
          <w:lang w:eastAsia="en-US"/>
        </w:rPr>
      </w:r>
    </w:p>
    <w:p>
      <w:pPr>
        <w:pStyle w:val="Normal"/>
        <w:ind w:firstLine="720"/>
        <w:jc w:val="both"/>
        <w:rPr/>
      </w:pPr>
      <w:r>
        <w:rPr>
          <w:b/>
        </w:rPr>
        <w:t>МО «Буреть»</w:t>
      </w:r>
      <w:r>
        <w:rPr/>
        <w:t xml:space="preserve"> расположено на землях исторического освоения юга Иркутской области.</w:t>
      </w:r>
    </w:p>
    <w:p>
      <w:pPr>
        <w:pStyle w:val="Normal"/>
        <w:ind w:firstLine="720"/>
        <w:jc w:val="both"/>
        <w:rPr/>
      </w:pPr>
      <w:r>
        <w:rPr/>
        <w:t xml:space="preserve">Еще задолго до прихода в Прибайкалье русских эта территория уже была заселена. Коренное население  - буряты. Проникновение русских сюда и присоединение Прибайкалья к России произошло в середине 18 века. </w:t>
      </w:r>
    </w:p>
    <w:p>
      <w:pPr>
        <w:pStyle w:val="Normal"/>
        <w:ind w:firstLine="720"/>
        <w:jc w:val="both"/>
        <w:rPr/>
      </w:pPr>
      <w:r>
        <w:rPr/>
        <w:t xml:space="preserve">Одна из главных особенностей заселения  территории заключалась в том, что здесь в отличие от многих других районов страны на одной ограниченной по сибирским масштабам территории происходил рост и развитие, как русского населения, так и бурят. Буряты занимали места, наиболее удобные с точки зрения экстенсивного пастбищного скотоводства, на территории современного Боханского района размещались бурятские улусы в долине реки Ида. </w:t>
      </w:r>
    </w:p>
    <w:p>
      <w:pPr>
        <w:pStyle w:val="Normal"/>
        <w:ind w:firstLine="720"/>
        <w:jc w:val="both"/>
        <w:rPr/>
      </w:pPr>
      <w:r>
        <w:rPr/>
        <w:t>Конец 17 и первая половина 18 в. - время массового наплыва русских переселенцев, которые перенимали у бурят навыки ухода за скотом, а буряты стали строить деревянные избы вместо войлочных юрт, заниматься пашенным земледелием, различными ремеслами.</w:t>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sectPr>
          <w:footerReference w:type="default" r:id="rId3"/>
          <w:footerReference w:type="first" r:id="rId4"/>
          <w:type w:val="nextPage"/>
          <w:pgSz w:w="11906" w:h="16838"/>
          <w:pgMar w:left="1701" w:right="850" w:header="0" w:top="1134" w:footer="708" w:bottom="1134" w:gutter="0"/>
          <w:pgNumType w:fmt="decimal"/>
          <w:formProt w:val="false"/>
          <w:titlePg/>
          <w:textDirection w:val="lrTb"/>
          <w:docGrid w:type="default" w:linePitch="360" w:charSpace="4294961151"/>
        </w:sectPr>
        <w:pStyle w:val="Normal"/>
        <w:ind w:firstLine="708"/>
        <w:jc w:val="both"/>
        <w:rPr>
          <w:rFonts w:eastAsia="Calibri"/>
          <w:bCs/>
          <w:lang w:eastAsia="en-US"/>
        </w:rPr>
      </w:pPr>
      <w:r>
        <w:rPr>
          <w:rFonts w:eastAsia="Calibri"/>
          <w:bCs/>
          <w:lang w:eastAsia="en-US"/>
        </w:rPr>
      </w:r>
    </w:p>
    <w:p>
      <w:pPr>
        <w:pStyle w:val="Normal"/>
        <w:jc w:val="both"/>
        <w:rPr/>
      </w:pPr>
      <w:r>
        <w:rPr/>
        <w:drawing>
          <wp:inline distT="0" distB="0" distL="19050" distR="9525">
            <wp:extent cx="6391275" cy="8790305"/>
            <wp:effectExtent l="0" t="0" r="0" b="0"/>
            <wp:docPr id="2" name="Рисунок 35" descr="D:\Текстовые материалы\ДСП\Приложение № 1\ст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5" descr="D:\Текстовые материалы\ДСП\Приложение № 1\стр 3.JPG"/>
                    <pic:cNvPicPr>
                      <a:picLocks noChangeAspect="1" noChangeArrowheads="1"/>
                    </pic:cNvPicPr>
                  </pic:nvPicPr>
                  <pic:blipFill>
                    <a:blip r:embed="rId5"/>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3" name="Рисунок 36" descr="D:\Текстовые материалы\ДСП\Приложение № 1\ст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6" descr="D:\Текстовые материалы\ДСП\Приложение № 1\стр 4.JPG"/>
                    <pic:cNvPicPr>
                      <a:picLocks noChangeAspect="1" noChangeArrowheads="1"/>
                    </pic:cNvPicPr>
                  </pic:nvPicPr>
                  <pic:blipFill>
                    <a:blip r:embed="rId6"/>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4" name="Рисунок 37" descr="D:\Текстовые материалы\ДСП\Приложение № 1\стр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7" descr="D:\Текстовые материалы\ДСП\Приложение № 1\стр 5.JPG"/>
                    <pic:cNvPicPr>
                      <a:picLocks noChangeAspect="1" noChangeArrowheads="1"/>
                    </pic:cNvPicPr>
                  </pic:nvPicPr>
                  <pic:blipFill>
                    <a:blip r:embed="rId7"/>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5" name="Рисунок 38" descr="D:\Текстовые материалы\ДСП\Приложение № 1\стр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8" descr="D:\Текстовые материалы\ДСП\Приложение № 1\стр 6.JPG"/>
                    <pic:cNvPicPr>
                      <a:picLocks noChangeAspect="1" noChangeArrowheads="1"/>
                    </pic:cNvPicPr>
                  </pic:nvPicPr>
                  <pic:blipFill>
                    <a:blip r:embed="rId8"/>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6" name="Рисунок 39" descr="D:\Текстовые материалы\ДСП\Приложение № 1\стр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9" descr="D:\Текстовые материалы\ДСП\Приложение № 1\стр 7.JPG"/>
                    <pic:cNvPicPr>
                      <a:picLocks noChangeAspect="1" noChangeArrowheads="1"/>
                    </pic:cNvPicPr>
                  </pic:nvPicPr>
                  <pic:blipFill>
                    <a:blip r:embed="rId9"/>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7" name="Рисунок 40" descr="D:\Текстовые материалы\ДСП\Приложение № 1\стр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0" descr="D:\Текстовые материалы\ДСП\Приложение № 1\стр 8.JPG"/>
                    <pic:cNvPicPr>
                      <a:picLocks noChangeAspect="1" noChangeArrowheads="1"/>
                    </pic:cNvPicPr>
                  </pic:nvPicPr>
                  <pic:blipFill>
                    <a:blip r:embed="rId10"/>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drawing>
          <wp:inline distT="0" distB="0" distL="19050" distR="9525">
            <wp:extent cx="6391275" cy="8790305"/>
            <wp:effectExtent l="0" t="0" r="0" b="0"/>
            <wp:docPr id="8" name="Рисунок 42" descr="D:\Текстовые материалы\ДСП\Приложение № 1\стр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2" descr="D:\Текстовые материалы\ДСП\Приложение № 1\стр 9.JPG"/>
                    <pic:cNvPicPr>
                      <a:picLocks noChangeAspect="1" noChangeArrowheads="1"/>
                    </pic:cNvPicPr>
                  </pic:nvPicPr>
                  <pic:blipFill>
                    <a:blip r:embed="rId11"/>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9" name="Рисунок 43" descr="D:\Текстовые материалы\ДСП\Приложение № 1\стр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3" descr="D:\Текстовые материалы\ДСП\Приложение № 1\стр 10.JPG"/>
                    <pic:cNvPicPr>
                      <a:picLocks noChangeAspect="1" noChangeArrowheads="1"/>
                    </pic:cNvPicPr>
                  </pic:nvPicPr>
                  <pic:blipFill>
                    <a:blip r:embed="rId12"/>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0" name="Рисунок 44" descr="D:\Текстовые материалы\ДСП\Приложение № 1\стр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4" descr="D:\Текстовые материалы\ДСП\Приложение № 1\стр 11.JPG"/>
                    <pic:cNvPicPr>
                      <a:picLocks noChangeAspect="1" noChangeArrowheads="1"/>
                    </pic:cNvPicPr>
                  </pic:nvPicPr>
                  <pic:blipFill>
                    <a:blip r:embed="rId13"/>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1" name="Рисунок 45" descr="D:\Текстовые материалы\ДСП\Приложение № 1\стр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5" descr="D:\Текстовые материалы\ДСП\Приложение № 1\стр 12.JPG"/>
                    <pic:cNvPicPr>
                      <a:picLocks noChangeAspect="1" noChangeArrowheads="1"/>
                    </pic:cNvPicPr>
                  </pic:nvPicPr>
                  <pic:blipFill>
                    <a:blip r:embed="rId14"/>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drawing>
          <wp:inline distT="0" distB="0" distL="19050" distR="9525">
            <wp:extent cx="6391275" cy="8790305"/>
            <wp:effectExtent l="0" t="0" r="0" b="0"/>
            <wp:docPr id="12" name="Рисунок 46" descr="D:\Текстовые материалы\ДСП\Приложение № 1\стр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6" descr="D:\Текстовые материалы\ДСП\Приложение № 1\стр 13.JPG"/>
                    <pic:cNvPicPr>
                      <a:picLocks noChangeAspect="1" noChangeArrowheads="1"/>
                    </pic:cNvPicPr>
                  </pic:nvPicPr>
                  <pic:blipFill>
                    <a:blip r:embed="rId15"/>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3" name="Рисунок 47" descr="D:\Текстовые материалы\ДСП\Приложение № 1\стр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7" descr="D:\Текстовые материалы\ДСП\Приложение № 1\стр 14.JPG"/>
                    <pic:cNvPicPr>
                      <a:picLocks noChangeAspect="1" noChangeArrowheads="1"/>
                    </pic:cNvPicPr>
                  </pic:nvPicPr>
                  <pic:blipFill>
                    <a:blip r:embed="rId16"/>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4" name="Рисунок 48" descr="D:\Текстовые материалы\ДСП\Приложение № 1\стр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8" descr="D:\Текстовые материалы\ДСП\Приложение № 1\стр 15.JPG"/>
                    <pic:cNvPicPr>
                      <a:picLocks noChangeAspect="1" noChangeArrowheads="1"/>
                    </pic:cNvPicPr>
                  </pic:nvPicPr>
                  <pic:blipFill>
                    <a:blip r:embed="rId17"/>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5" name="Рисунок 49" descr="D:\Текстовые материалы\ДСП\Приложение № 1\стр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9" descr="D:\Текстовые материалы\ДСП\Приложение № 1\стр 16.JPG"/>
                    <pic:cNvPicPr>
                      <a:picLocks noChangeAspect="1" noChangeArrowheads="1"/>
                    </pic:cNvPicPr>
                  </pic:nvPicPr>
                  <pic:blipFill>
                    <a:blip r:embed="rId18"/>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6" name="Рисунок 50" descr="D:\Текстовые материалы\ДСП\Приложение № 1\стр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0" descr="D:\Текстовые материалы\ДСП\Приложение № 1\стр 17.JPG"/>
                    <pic:cNvPicPr>
                      <a:picLocks noChangeAspect="1" noChangeArrowheads="1"/>
                    </pic:cNvPicPr>
                  </pic:nvPicPr>
                  <pic:blipFill>
                    <a:blip r:embed="rId19"/>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drawing>
          <wp:inline distT="0" distB="0" distL="19050" distR="9525">
            <wp:extent cx="6391275" cy="8790305"/>
            <wp:effectExtent l="0" t="0" r="0" b="0"/>
            <wp:docPr id="17" name="Рисунок 51" descr="D:\Текстовые материалы\ДСП\Приложение № 1\стр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51" descr="D:\Текстовые материалы\ДСП\Приложение № 1\стр 18.JPG"/>
                    <pic:cNvPicPr>
                      <a:picLocks noChangeAspect="1" noChangeArrowheads="1"/>
                    </pic:cNvPicPr>
                  </pic:nvPicPr>
                  <pic:blipFill>
                    <a:blip r:embed="rId20"/>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8" name="Рисунок 52" descr="D:\Текстовые материалы\ДСП\Приложение № 1\стр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52" descr="D:\Текстовые материалы\ДСП\Приложение № 1\стр 19.JPG"/>
                    <pic:cNvPicPr>
                      <a:picLocks noChangeAspect="1" noChangeArrowheads="1"/>
                    </pic:cNvPicPr>
                  </pic:nvPicPr>
                  <pic:blipFill>
                    <a:blip r:embed="rId21"/>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tabs>
          <w:tab w:val="left" w:pos="3240" w:leader="none"/>
        </w:tabs>
        <w:jc w:val="center"/>
        <w:rPr>
          <w:b/>
          <w:b/>
        </w:rPr>
      </w:pPr>
      <w:r>
        <w:rPr/>
        <w:drawing>
          <wp:inline distT="0" distB="0" distL="19050" distR="635">
            <wp:extent cx="6038215" cy="8533130"/>
            <wp:effectExtent l="0" t="0" r="0" b="0"/>
            <wp:docPr id="19"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1" descr=""/>
                    <pic:cNvPicPr>
                      <a:picLocks noChangeAspect="1" noChangeArrowheads="1"/>
                    </pic:cNvPicPr>
                  </pic:nvPicPr>
                  <pic:blipFill>
                    <a:blip r:embed="rId22"/>
                    <a:stretch>
                      <a:fillRect/>
                    </a:stretch>
                  </pic:blipFill>
                  <pic:spPr bwMode="auto">
                    <a:xfrm>
                      <a:off x="0" y="0"/>
                      <a:ext cx="6038215" cy="8533130"/>
                    </a:xfrm>
                    <a:prstGeom prst="rect">
                      <a:avLst/>
                    </a:prstGeom>
                  </pic:spPr>
                </pic:pic>
              </a:graphicData>
            </a:graphic>
          </wp:inline>
        </w:drawing>
      </w:r>
    </w:p>
    <w:p>
      <w:pPr>
        <w:pStyle w:val="Normal"/>
        <w:tabs>
          <w:tab w:val="left" w:pos="3240" w:leader="none"/>
        </w:tabs>
        <w:jc w:val="center"/>
        <w:rPr>
          <w:b/>
          <w:b/>
        </w:rPr>
      </w:pPr>
      <w:r>
        <w:rPr/>
        <w:drawing>
          <wp:inline distT="0" distB="0" distL="19050" distR="635">
            <wp:extent cx="6038215" cy="8533130"/>
            <wp:effectExtent l="0" t="0" r="0" b="0"/>
            <wp:docPr id="20"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2" descr=""/>
                    <pic:cNvPicPr>
                      <a:picLocks noChangeAspect="1" noChangeArrowheads="1"/>
                    </pic:cNvPicPr>
                  </pic:nvPicPr>
                  <pic:blipFill>
                    <a:blip r:embed="rId23"/>
                    <a:stretch>
                      <a:fillRect/>
                    </a:stretch>
                  </pic:blipFill>
                  <pic:spPr bwMode="auto">
                    <a:xfrm>
                      <a:off x="0" y="0"/>
                      <a:ext cx="6038215" cy="8533130"/>
                    </a:xfrm>
                    <a:prstGeom prst="rect">
                      <a:avLst/>
                    </a:prstGeom>
                  </pic:spPr>
                </pic:pic>
              </a:graphicData>
            </a:graphic>
          </wp:inline>
        </w:drawing>
      </w:r>
    </w:p>
    <w:p>
      <w:pPr>
        <w:pStyle w:val="Normal"/>
        <w:tabs>
          <w:tab w:val="left" w:pos="3240" w:leader="none"/>
        </w:tabs>
        <w:jc w:val="center"/>
        <w:rPr>
          <w:b/>
          <w:b/>
        </w:rPr>
      </w:pPr>
      <w:r>
        <w:rPr>
          <w:b/>
        </w:rPr>
      </w:r>
    </w:p>
    <w:p>
      <w:pPr>
        <w:pStyle w:val="Normal"/>
        <w:tabs>
          <w:tab w:val="left" w:pos="3240" w:leader="none"/>
        </w:tabs>
        <w:jc w:val="center"/>
        <w:rPr>
          <w:b/>
          <w:b/>
        </w:rPr>
      </w:pPr>
      <w:r>
        <w:rPr/>
        <w:drawing>
          <wp:inline distT="0" distB="0" distL="19050" distR="635">
            <wp:extent cx="6038215" cy="8533130"/>
            <wp:effectExtent l="0" t="0" r="0" b="0"/>
            <wp:docPr id="21"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3" descr=""/>
                    <pic:cNvPicPr>
                      <a:picLocks noChangeAspect="1" noChangeArrowheads="1"/>
                    </pic:cNvPicPr>
                  </pic:nvPicPr>
                  <pic:blipFill>
                    <a:blip r:embed="rId24"/>
                    <a:stretch>
                      <a:fillRect/>
                    </a:stretch>
                  </pic:blipFill>
                  <pic:spPr bwMode="auto">
                    <a:xfrm>
                      <a:off x="0" y="0"/>
                      <a:ext cx="6038215" cy="8533130"/>
                    </a:xfrm>
                    <a:prstGeom prst="rect">
                      <a:avLst/>
                    </a:prstGeom>
                  </pic:spPr>
                </pic:pic>
              </a:graphicData>
            </a:graphic>
          </wp:inline>
        </w:drawing>
      </w:r>
    </w:p>
    <w:p>
      <w:pPr>
        <w:pStyle w:val="Normal"/>
        <w:tabs>
          <w:tab w:val="left" w:pos="3240" w:leader="none"/>
        </w:tabs>
        <w:jc w:val="center"/>
        <w:rPr>
          <w:b/>
          <w:b/>
        </w:rPr>
      </w:pPr>
      <w:r>
        <w:rPr>
          <w:b/>
        </w:rPr>
      </w:r>
    </w:p>
    <w:p>
      <w:pPr>
        <w:pStyle w:val="Normal"/>
        <w:tabs>
          <w:tab w:val="left" w:pos="3240" w:leader="none"/>
        </w:tabs>
        <w:jc w:val="center"/>
        <w:rPr>
          <w:b/>
          <w:b/>
        </w:rPr>
      </w:pPr>
      <w:r>
        <w:rPr/>
        <w:drawing>
          <wp:inline distT="0" distB="0" distL="19050" distR="635">
            <wp:extent cx="6038215" cy="8533130"/>
            <wp:effectExtent l="0" t="0" r="0" b="0"/>
            <wp:docPr id="22"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4" descr=""/>
                    <pic:cNvPicPr>
                      <a:picLocks noChangeAspect="1" noChangeArrowheads="1"/>
                    </pic:cNvPicPr>
                  </pic:nvPicPr>
                  <pic:blipFill>
                    <a:blip r:embed="rId25"/>
                    <a:stretch>
                      <a:fillRect/>
                    </a:stretch>
                  </pic:blipFill>
                  <pic:spPr bwMode="auto">
                    <a:xfrm>
                      <a:off x="0" y="0"/>
                      <a:ext cx="6038215" cy="8533130"/>
                    </a:xfrm>
                    <a:prstGeom prst="rect">
                      <a:avLst/>
                    </a:prstGeom>
                  </pic:spPr>
                </pic:pic>
              </a:graphicData>
            </a:graphic>
          </wp:inline>
        </w:drawing>
      </w:r>
    </w:p>
    <w:p>
      <w:pPr>
        <w:pStyle w:val="Normal"/>
        <w:tabs>
          <w:tab w:val="left" w:pos="3240" w:leader="none"/>
        </w:tabs>
        <w:jc w:val="center"/>
        <w:rPr>
          <w:b/>
          <w:b/>
        </w:rPr>
      </w:pPr>
      <w:r>
        <w:rPr>
          <w:b/>
        </w:rPr>
      </w:r>
    </w:p>
    <w:p>
      <w:pPr>
        <w:pStyle w:val="Normal"/>
        <w:tabs>
          <w:tab w:val="left" w:pos="3240" w:leader="none"/>
        </w:tabs>
        <w:jc w:val="center"/>
        <w:rPr>
          <w:b/>
          <w:b/>
        </w:rPr>
      </w:pPr>
      <w:r>
        <w:rPr/>
        <w:drawing>
          <wp:inline distT="0" distB="0" distL="19050" distR="635">
            <wp:extent cx="6038215" cy="8533130"/>
            <wp:effectExtent l="0" t="0" r="0" b="0"/>
            <wp:docPr id="23"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5" descr=""/>
                    <pic:cNvPicPr>
                      <a:picLocks noChangeAspect="1" noChangeArrowheads="1"/>
                    </pic:cNvPicPr>
                  </pic:nvPicPr>
                  <pic:blipFill>
                    <a:blip r:embed="rId26"/>
                    <a:stretch>
                      <a:fillRect/>
                    </a:stretch>
                  </pic:blipFill>
                  <pic:spPr bwMode="auto">
                    <a:xfrm>
                      <a:off x="0" y="0"/>
                      <a:ext cx="6038215" cy="8533130"/>
                    </a:xfrm>
                    <a:prstGeom prst="rect">
                      <a:avLst/>
                    </a:prstGeom>
                  </pic:spPr>
                </pic:pic>
              </a:graphicData>
            </a:graphic>
          </wp:inline>
        </w:drawing>
      </w:r>
    </w:p>
    <w:p>
      <w:pPr>
        <w:pStyle w:val="Normal"/>
        <w:tabs>
          <w:tab w:val="left" w:pos="3240" w:leader="none"/>
        </w:tabs>
        <w:jc w:val="center"/>
        <w:rPr>
          <w:b/>
          <w:b/>
        </w:rPr>
      </w:pPr>
      <w:r>
        <w:rPr>
          <w:b/>
        </w:rPr>
      </w:r>
    </w:p>
    <w:p>
      <w:pPr>
        <w:pStyle w:val="Normal"/>
        <w:tabs>
          <w:tab w:val="left" w:pos="3240" w:leader="none"/>
        </w:tabs>
        <w:jc w:val="center"/>
        <w:rPr>
          <w:b/>
          <w:b/>
        </w:rPr>
      </w:pPr>
      <w:r>
        <w:rPr/>
        <w:drawing>
          <wp:inline distT="0" distB="0" distL="19050" distR="635">
            <wp:extent cx="6038215" cy="8533130"/>
            <wp:effectExtent l="0" t="0" r="0" b="0"/>
            <wp:docPr id="24"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6" descr=""/>
                    <pic:cNvPicPr>
                      <a:picLocks noChangeAspect="1" noChangeArrowheads="1"/>
                    </pic:cNvPicPr>
                  </pic:nvPicPr>
                  <pic:blipFill>
                    <a:blip r:embed="rId27"/>
                    <a:stretch>
                      <a:fillRect/>
                    </a:stretch>
                  </pic:blipFill>
                  <pic:spPr bwMode="auto">
                    <a:xfrm>
                      <a:off x="0" y="0"/>
                      <a:ext cx="6038215" cy="8533130"/>
                    </a:xfrm>
                    <a:prstGeom prst="rect">
                      <a:avLst/>
                    </a:prstGeom>
                  </pic:spPr>
                </pic:pic>
              </a:graphicData>
            </a:graphic>
          </wp:inline>
        </w:drawing>
      </w:r>
    </w:p>
    <w:p>
      <w:pPr>
        <w:pStyle w:val="Normal"/>
        <w:tabs>
          <w:tab w:val="left" w:pos="3240" w:leader="none"/>
        </w:tabs>
        <w:jc w:val="center"/>
        <w:rPr>
          <w:b/>
          <w:b/>
        </w:rPr>
      </w:pPr>
      <w:r>
        <w:rPr/>
        <w:drawing>
          <wp:inline distT="0" distB="0" distL="19050" distR="635">
            <wp:extent cx="6038215" cy="8533130"/>
            <wp:effectExtent l="0" t="0" r="0" b="0"/>
            <wp:docPr id="25"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7" descr=""/>
                    <pic:cNvPicPr>
                      <a:picLocks noChangeAspect="1" noChangeArrowheads="1"/>
                    </pic:cNvPicPr>
                  </pic:nvPicPr>
                  <pic:blipFill>
                    <a:blip r:embed="rId28"/>
                    <a:stretch>
                      <a:fillRect/>
                    </a:stretch>
                  </pic:blipFill>
                  <pic:spPr bwMode="auto">
                    <a:xfrm>
                      <a:off x="0" y="0"/>
                      <a:ext cx="6038215" cy="8533130"/>
                    </a:xfrm>
                    <a:prstGeom prst="rect">
                      <a:avLst/>
                    </a:prstGeom>
                  </pic:spPr>
                </pic:pic>
              </a:graphicData>
            </a:graphic>
          </wp:inline>
        </w:drawing>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rFonts w:ascii="Arial" w:hAnsi="Arial" w:cs="Arial"/>
        </w:rPr>
      </w:pPr>
      <w:r>
        <w:rPr>
          <w:rFonts w:cs="Arial" w:ascii="Arial" w:hAnsi="Arial"/>
        </w:rPr>
      </w:r>
    </w:p>
    <w:p>
      <w:pPr>
        <w:pStyle w:val="Normal"/>
        <w:rPr/>
      </w:pPr>
      <w:r>
        <w:rPr/>
      </w:r>
    </w:p>
    <w:sectPr>
      <w:footerReference w:type="default" r:id="rId29"/>
      <w:type w:val="nextPage"/>
      <w:pgSz w:w="11906" w:h="16838"/>
      <w:pgMar w:left="1701" w:right="1134" w:header="0" w:top="1134" w:footer="709" w:bottom="1134"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Arial">
    <w:charset w:val="cc"/>
    <w:family w:val="roman"/>
    <w:pitch w:val="variable"/>
  </w:font>
  <w:font w:name="Cambria">
    <w:charset w:val="cc"/>
    <w:family w:val="roman"/>
    <w:pitch w:val="variable"/>
  </w:font>
  <w:font w:name="Journal">
    <w:charset w:val="cc"/>
    <w:family w:val="roman"/>
    <w:pitch w:val="variable"/>
  </w:font>
  <w:font w:name="Tahoma">
    <w:charset w:val="cc"/>
    <w:family w:val="roman"/>
    <w:pitch w:val="variable"/>
  </w:font>
  <w:font w:name="Courier New">
    <w:charset w:val="cc"/>
    <w:family w:val="roman"/>
    <w:pitch w:val="variable"/>
  </w:font>
  <w:font w:name="Arial Narrow">
    <w:charset w:val="cc"/>
    <w:family w:val="roman"/>
    <w:pitch w:val="variable"/>
  </w:font>
  <w:font w:name="ISOCPEUR">
    <w:charset w:val="cc"/>
    <w:family w:val="roman"/>
    <w:pitch w:val="variable"/>
  </w:font>
  <w:font w:name="OpenSymbol">
    <w:altName w:val="Arial Unicode MS"/>
    <w:charset w:val="01"/>
    <w:family w:val="auto"/>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575557327"/>
    </w:sdtPr>
    <w:sdtContent>
      <w:p>
        <w:pPr>
          <w:pStyle w:val="Style30"/>
          <w:jc w:val="right"/>
          <w:rPr/>
        </w:pPr>
        <w:r>
          <w:rPr/>
          <w:fldChar w:fldCharType="begin"/>
        </w:r>
        <w:r>
          <w:instrText> PAGE </w:instrText>
        </w:r>
        <w:r>
          <w:fldChar w:fldCharType="separate"/>
        </w:r>
        <w:r>
          <w:t>7</w:t>
        </w:r>
        <w:r>
          <w:fldChar w:fldCharType="end"/>
        </w:r>
      </w:p>
      <w:p>
        <w:pPr>
          <w:pStyle w:val="Style30"/>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68106913"/>
    </w:sdtPr>
    <w:sdtContent>
      <w:p>
        <w:pPr>
          <w:pStyle w:val="Style30"/>
          <w:jc w:val="right"/>
          <w:rPr/>
        </w:pPr>
        <w:r>
          <w:rPr/>
          <w:fldChar w:fldCharType="begin"/>
        </w:r>
        <w:r>
          <w:instrText> PAGE </w:instrText>
        </w:r>
        <w:r>
          <w:fldChar w:fldCharType="separate"/>
        </w:r>
        <w:r>
          <w:t>1</w:t>
        </w:r>
        <w:r>
          <w:fldChar w:fldCharType="end"/>
        </w:r>
      </w:p>
    </w:sdtContent>
  </w:sdt>
  <w:p>
    <w:pPr>
      <w:pStyle w:val="Style3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02651500"/>
    </w:sdtPr>
    <w:sdtContent>
      <w:p>
        <w:pPr>
          <w:pStyle w:val="Style30"/>
          <w:jc w:val="right"/>
          <w:rPr/>
        </w:pPr>
        <w:r>
          <w:rPr/>
          <w:fldChar w:fldCharType="begin"/>
        </w:r>
        <w:r>
          <w:instrText> PAGE </w:instrText>
        </w:r>
        <w:r>
          <w:fldChar w:fldCharType="separate"/>
        </w:r>
        <w:r>
          <w:t>58</w:t>
        </w:r>
        <w:r>
          <w:fldChar w:fldCharType="end"/>
        </w:r>
      </w:p>
      <w:p>
        <w:pPr>
          <w:pStyle w:val="Style30"/>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329" w:hanging="360"/>
      </w:pPr>
    </w:lvl>
    <w:lvl w:ilvl="1">
      <w:start w:val="1"/>
      <w:numFmt w:val="lowerLetter"/>
      <w:lvlText w:val="%2."/>
      <w:lvlJc w:val="left"/>
      <w:pPr>
        <w:ind w:left="2049" w:hanging="360"/>
      </w:pPr>
    </w:lvl>
    <w:lvl w:ilvl="2">
      <w:start w:val="1"/>
      <w:numFmt w:val="lowerRoman"/>
      <w:lvlText w:val="%3."/>
      <w:lvlJc w:val="right"/>
      <w:pPr>
        <w:ind w:left="2769" w:hanging="180"/>
      </w:pPr>
    </w:lvl>
    <w:lvl w:ilvl="3">
      <w:start w:val="1"/>
      <w:numFmt w:val="decimal"/>
      <w:lvlText w:val="%4."/>
      <w:lvlJc w:val="left"/>
      <w:pPr>
        <w:ind w:left="3489" w:hanging="360"/>
      </w:pPr>
    </w:lvl>
    <w:lvl w:ilvl="4">
      <w:start w:val="1"/>
      <w:numFmt w:val="lowerLetter"/>
      <w:lvlText w:val="%5."/>
      <w:lvlJc w:val="left"/>
      <w:pPr>
        <w:ind w:left="4209" w:hanging="360"/>
      </w:pPr>
    </w:lvl>
    <w:lvl w:ilvl="5">
      <w:start w:val="1"/>
      <w:numFmt w:val="lowerRoman"/>
      <w:lvlText w:val="%6."/>
      <w:lvlJc w:val="right"/>
      <w:pPr>
        <w:ind w:left="4929" w:hanging="180"/>
      </w:pPr>
    </w:lvl>
    <w:lvl w:ilvl="6">
      <w:start w:val="1"/>
      <w:numFmt w:val="decimal"/>
      <w:lvlText w:val="%7."/>
      <w:lvlJc w:val="left"/>
      <w:pPr>
        <w:ind w:left="5649" w:hanging="360"/>
      </w:pPr>
    </w:lvl>
    <w:lvl w:ilvl="7">
      <w:start w:val="1"/>
      <w:numFmt w:val="lowerLetter"/>
      <w:lvlText w:val="%8."/>
      <w:lvlJc w:val="left"/>
      <w:pPr>
        <w:ind w:left="6369" w:hanging="360"/>
      </w:pPr>
    </w:lvl>
    <w:lvl w:ilvl="8">
      <w:start w:val="1"/>
      <w:numFmt w:val="lowerRoman"/>
      <w:lvlText w:val="%9."/>
      <w:lvlJc w:val="right"/>
      <w:pPr>
        <w:ind w:left="7089" w:hanging="180"/>
      </w:pPr>
    </w:lvl>
  </w:abstractNum>
  <w:abstractNum w:abstractNumId="2">
    <w:lvl w:ilvl="0">
      <w:start w:val="1"/>
      <w:numFmt w:val="decimal"/>
      <w:suff w:val="space"/>
      <w:lvlText w:val="%1В"/>
      <w:lvlJc w:val="left"/>
      <w:pPr>
        <w:ind w:left="720" w:hanging="360"/>
      </w:pPr>
      <w:rPr>
        <w:rFonts w:cs="Times New Roman"/>
      </w:rPr>
    </w:lvl>
    <w:lvl w:ilvl="1">
      <w:start w:val="1"/>
      <w:numFmt w:val="decimal"/>
      <w:suff w:val="space"/>
      <w:lvlText w:val="%2В"/>
      <w:lvlJc w:val="left"/>
      <w:pPr>
        <w:ind w:left="720" w:hanging="360"/>
      </w:pPr>
      <w:rPr>
        <w:rFonts w:cs="Times New Roman"/>
      </w:rPr>
    </w:lvl>
    <w:lvl w:ilvl="2">
      <w:start w:val="1"/>
      <w:numFmt w:val="decimal"/>
      <w:suff w:val="space"/>
      <w:lvlText w:val="%3В"/>
      <w:lvlJc w:val="left"/>
      <w:pPr>
        <w:ind w:left="720" w:hanging="360"/>
      </w:pPr>
      <w:rPr>
        <w:rFonts w:cs="Times New Roman"/>
      </w:rPr>
    </w:lvl>
    <w:lvl w:ilvl="3">
      <w:start w:val="1"/>
      <w:numFmt w:val="decimal"/>
      <w:suff w:val="space"/>
      <w:lvlText w:val="%4В"/>
      <w:lvlJc w:val="left"/>
      <w:pPr>
        <w:ind w:left="720" w:hanging="360"/>
      </w:pPr>
      <w:rPr>
        <w:rFonts w:cs="Times New Roman"/>
      </w:rPr>
    </w:lvl>
    <w:lvl w:ilvl="4">
      <w:start w:val="1"/>
      <w:numFmt w:val="decimal"/>
      <w:suff w:val="space"/>
      <w:lvlText w:val="%5В"/>
      <w:lvlJc w:val="left"/>
      <w:pPr>
        <w:ind w:left="720" w:hanging="360"/>
      </w:pPr>
      <w:rPr>
        <w:rFonts w:cs="Times New Roman"/>
      </w:rPr>
    </w:lvl>
    <w:lvl w:ilvl="5">
      <w:start w:val="1"/>
      <w:numFmt w:val="decimal"/>
      <w:suff w:val="space"/>
      <w:lvlText w:val="%6В"/>
      <w:lvlJc w:val="left"/>
      <w:pPr>
        <w:ind w:left="720" w:hanging="360"/>
      </w:pPr>
      <w:rPr>
        <w:rFonts w:cs="Times New Roman"/>
      </w:rPr>
    </w:lvl>
    <w:lvl w:ilvl="6">
      <w:start w:val="1"/>
      <w:numFmt w:val="decimal"/>
      <w:suff w:val="space"/>
      <w:lvlText w:val="%7В"/>
      <w:lvlJc w:val="left"/>
      <w:pPr>
        <w:ind w:left="720" w:hanging="360"/>
      </w:pPr>
      <w:rPr>
        <w:rFonts w:cs="Times New Roman"/>
      </w:rPr>
    </w:lvl>
    <w:lvl w:ilvl="7">
      <w:start w:val="1"/>
      <w:numFmt w:val="decimal"/>
      <w:suff w:val="space"/>
      <w:lvlText w:val="%8В"/>
      <w:lvlJc w:val="left"/>
      <w:pPr>
        <w:ind w:left="720" w:hanging="360"/>
      </w:pPr>
      <w:rPr>
        <w:rFonts w:cs="Times New Roman"/>
      </w:rPr>
    </w:lvl>
    <w:lvl w:ilvl="8">
      <w:start w:val="1"/>
      <w:numFmt w:val="decimal"/>
      <w:suff w:val="space"/>
      <w:lvlText w:val="%9В"/>
      <w:lvlJc w:val="left"/>
      <w:pPr>
        <w:ind w:left="720" w:hanging="360"/>
      </w:pPr>
      <w:rPr>
        <w:rFonts w:cs="Times New Roman"/>
      </w:rPr>
    </w:lvl>
  </w:abstractNum>
  <w:abstractNum w:abstractNumId="3">
    <w:lvl w:ilvl="0">
      <w:start w:val="1"/>
      <w:numFmt w:val="decimal"/>
      <w:lvlText w:val="%1."/>
      <w:lvlJc w:val="left"/>
      <w:pPr>
        <w:ind w:left="1920" w:hanging="360"/>
      </w:pPr>
      <w:rPr>
        <w:rFonts w:cs="Times New Roman"/>
      </w:r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4">
    <w:lvl w:ilvl="0">
      <w:start w:val="1"/>
      <w:numFmt w:val="decimal"/>
      <w:lvlText w:val="%1."/>
      <w:lvlJc w:val="left"/>
      <w:pPr>
        <w:ind w:left="8724" w:hanging="360"/>
      </w:pPr>
    </w:lvl>
    <w:lvl w:ilvl="1">
      <w:start w:val="1"/>
      <w:numFmt w:val="decimal"/>
      <w:lvlText w:val="%1.%2."/>
      <w:lvlJc w:val="left"/>
      <w:pPr>
        <w:ind w:left="1636" w:hanging="360"/>
      </w:pPr>
      <w:rPr>
        <w:b/>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lvl w:ilvl="0">
      <w:start w:val="1"/>
      <w:numFmt w:val="decimal"/>
      <w:lvlText w:val="%1."/>
      <w:lvlJc w:val="left"/>
      <w:pPr>
        <w:ind w:left="107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ind w:left="720" w:hanging="360"/>
      </w:pPr>
    </w:lvl>
    <w:lvl w:ilvl="1">
      <w:start w:val="2"/>
      <w:numFmt w:val="decimal"/>
      <w:lvlText w:val="%1.%2."/>
      <w:lvlJc w:val="left"/>
      <w:pPr>
        <w:ind w:left="1636" w:hanging="360"/>
      </w:pPr>
    </w:lvl>
    <w:lvl w:ilvl="2">
      <w:start w:val="1"/>
      <w:numFmt w:val="decimal"/>
      <w:lvlText w:val="%1.%2.%3."/>
      <w:lvlJc w:val="left"/>
      <w:pPr>
        <w:ind w:left="2912" w:hanging="720"/>
      </w:pPr>
    </w:lvl>
    <w:lvl w:ilvl="3">
      <w:start w:val="1"/>
      <w:numFmt w:val="decimal"/>
      <w:lvlText w:val="%1.%2.%3.%4."/>
      <w:lvlJc w:val="left"/>
      <w:pPr>
        <w:ind w:left="3828" w:hanging="720"/>
      </w:pPr>
    </w:lvl>
    <w:lvl w:ilvl="4">
      <w:start w:val="1"/>
      <w:numFmt w:val="decimal"/>
      <w:lvlText w:val="%1.%2.%3.%4.%5."/>
      <w:lvlJc w:val="left"/>
      <w:pPr>
        <w:ind w:left="5104" w:hanging="1080"/>
      </w:pPr>
    </w:lvl>
    <w:lvl w:ilvl="5">
      <w:start w:val="1"/>
      <w:numFmt w:val="decimal"/>
      <w:lvlText w:val="%1.%2.%3.%4.%5.%6."/>
      <w:lvlJc w:val="left"/>
      <w:pPr>
        <w:ind w:left="6020" w:hanging="1080"/>
      </w:pPr>
    </w:lvl>
    <w:lvl w:ilvl="6">
      <w:start w:val="1"/>
      <w:numFmt w:val="decimal"/>
      <w:lvlText w:val="%1.%2.%3.%4.%5.%6.%7."/>
      <w:lvlJc w:val="left"/>
      <w:pPr>
        <w:ind w:left="7296" w:hanging="1440"/>
      </w:pPr>
    </w:lvl>
    <w:lvl w:ilvl="7">
      <w:start w:val="1"/>
      <w:numFmt w:val="decimal"/>
      <w:lvlText w:val="%1.%2.%3.%4.%5.%6.%7.%8."/>
      <w:lvlJc w:val="left"/>
      <w:pPr>
        <w:ind w:left="8212" w:hanging="1440"/>
      </w:pPr>
    </w:lvl>
    <w:lvl w:ilvl="8">
      <w:start w:val="1"/>
      <w:numFmt w:val="decimal"/>
      <w:lvlText w:val="%1.%2.%3.%4.%5.%6.%7.%8.%9."/>
      <w:lvlJc w:val="left"/>
      <w:pPr>
        <w:ind w:left="9488" w:hanging="1800"/>
      </w:pPr>
    </w:lvl>
  </w:abstractNum>
  <w:abstractNum w:abstractNumId="8">
    <w:lvl w:ilvl="0">
      <w:start w:val="1"/>
      <w:numFmt w:val="decimal"/>
      <w:lvlText w:val="%1)"/>
      <w:lvlJc w:val="left"/>
      <w:pPr>
        <w:ind w:left="1068" w:hanging="360"/>
      </w:pPr>
      <w:rPr>
        <w:sz w:val="24"/>
        <w:szCs w:val="24"/>
        <w:rFonts w:cs="Times New Roman"/>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lvl w:ilvl="0">
      <w:start w:val="1"/>
      <w:numFmt w:val="bullet"/>
      <w:lvlText w:val=""/>
      <w:lvlJc w:val="left"/>
      <w:pPr>
        <w:tabs>
          <w:tab w:val="num" w:pos="1420"/>
        </w:tabs>
        <w:ind w:left="14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5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3" w:uiPriority="0"/>
    <w:lsdException w:name="List Bullet 2" w:uiPriority="0"/>
    <w:lsdException w:name="Title" w:uiPriority="0" w:semiHidden="0" w:unhideWhenUsed="0" w:qFormat="1"/>
    <w:lsdException w:name="Default Paragraph Font" w:uiPriority="1"/>
    <w:lsdException w:name="Body Text" w:uiPriority="0"/>
    <w:lsdException w:name="Body Text Indent" w:uiPriority="0"/>
    <w:lsdException w:name="Subtitle" w:uiPriority="0" w:semiHidden="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uiPriority="22" w:semiHidden="0" w:unhideWhenUsed="0" w:qFormat="1"/>
    <w:lsdException w:name="Emphasis" w:uiPriority="20" w:semiHidden="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uiPriority="0"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329e0"/>
    <w:pPr>
      <w:widowControl/>
      <w:bidi w:val="0"/>
      <w:spacing w:lineRule="auto" w:line="240" w:before="0" w:after="0"/>
      <w:jc w:val="left"/>
    </w:pPr>
    <w:rPr>
      <w:rFonts w:ascii="Times New Roman" w:hAnsi="Times New Roman" w:eastAsia="Times New Roman" w:cs="Times New Roman"/>
      <w:color w:val="auto"/>
      <w:sz w:val="24"/>
      <w:szCs w:val="24"/>
      <w:lang w:eastAsia="ru-RU" w:val="ru-RU" w:bidi="ar-SA"/>
    </w:rPr>
  </w:style>
  <w:style w:type="paragraph" w:styleId="1">
    <w:name w:val="Heading 1"/>
    <w:basedOn w:val="Normal"/>
    <w:link w:val="10"/>
    <w:qFormat/>
    <w:rsid w:val="00f329e0"/>
    <w:pPr>
      <w:spacing w:beforeAutospacing="1" w:afterAutospacing="1"/>
      <w:outlineLvl w:val="0"/>
    </w:pPr>
    <w:rPr>
      <w:b/>
      <w:bCs/>
      <w:sz w:val="48"/>
      <w:szCs w:val="48"/>
    </w:rPr>
  </w:style>
  <w:style w:type="paragraph" w:styleId="2">
    <w:name w:val="Heading 2"/>
    <w:basedOn w:val="Normal"/>
    <w:link w:val="20"/>
    <w:qFormat/>
    <w:rsid w:val="00395c6e"/>
    <w:pPr>
      <w:keepNext/>
      <w:spacing w:before="240" w:after="60"/>
      <w:outlineLvl w:val="1"/>
    </w:pPr>
    <w:rPr>
      <w:rFonts w:ascii="Arial" w:hAnsi="Arial" w:cs="Arial"/>
      <w:b/>
      <w:bCs/>
      <w:i/>
      <w:iCs/>
      <w:sz w:val="28"/>
      <w:szCs w:val="28"/>
    </w:rPr>
  </w:style>
  <w:style w:type="paragraph" w:styleId="3">
    <w:name w:val="Heading 3"/>
    <w:basedOn w:val="Normal"/>
    <w:link w:val="30"/>
    <w:qFormat/>
    <w:rsid w:val="00395c6e"/>
    <w:pPr>
      <w:keepNext/>
      <w:spacing w:before="240" w:after="60"/>
      <w:outlineLvl w:val="2"/>
    </w:pPr>
    <w:rPr>
      <w:rFonts w:ascii="Arial" w:hAnsi="Arial" w:cs="Arial"/>
      <w:b/>
      <w:bCs/>
      <w:sz w:val="26"/>
      <w:szCs w:val="26"/>
    </w:rPr>
  </w:style>
  <w:style w:type="paragraph" w:styleId="4">
    <w:name w:val="Heading 4"/>
    <w:basedOn w:val="Normal"/>
    <w:link w:val="40"/>
    <w:qFormat/>
    <w:rsid w:val="00395c6e"/>
    <w:pPr>
      <w:keepNext/>
      <w:spacing w:before="240" w:after="60"/>
      <w:outlineLvl w:val="3"/>
    </w:pPr>
    <w:rPr>
      <w:rFonts w:ascii="Calibri" w:hAnsi="Calibri"/>
      <w:b/>
      <w:bCs/>
      <w:sz w:val="28"/>
      <w:szCs w:val="28"/>
    </w:rPr>
  </w:style>
  <w:style w:type="paragraph" w:styleId="5">
    <w:name w:val="Heading 5"/>
    <w:basedOn w:val="Normal"/>
    <w:link w:val="50"/>
    <w:semiHidden/>
    <w:unhideWhenUsed/>
    <w:qFormat/>
    <w:rsid w:val="00395c6e"/>
    <w:pPr>
      <w:keepNext/>
      <w:jc w:val="center"/>
      <w:outlineLvl w:val="4"/>
    </w:pPr>
    <w:rPr>
      <w:rFonts w:ascii="Arial" w:hAnsi="Arial" w:cs="Arial"/>
      <w:b/>
      <w:bCs/>
      <w:sz w:val="36"/>
    </w:rPr>
  </w:style>
  <w:style w:type="paragraph" w:styleId="6">
    <w:name w:val="Heading 6"/>
    <w:basedOn w:val="Normal"/>
    <w:link w:val="60"/>
    <w:unhideWhenUsed/>
    <w:qFormat/>
    <w:rsid w:val="00a7082f"/>
    <w:pPr>
      <w:keepNext/>
      <w:keepLines/>
      <w:spacing w:before="200" w:after="0"/>
      <w:outlineLvl w:val="5"/>
    </w:pPr>
    <w:rPr>
      <w:rFonts w:ascii="Cambria" w:hAnsi="Cambria" w:eastAsia="" w:cs="" w:asciiTheme="majorHAnsi" w:cstheme="majorBidi" w:eastAsiaTheme="majorEastAsia" w:hAnsiTheme="majorHAnsi"/>
      <w:i/>
      <w:iCs/>
      <w:color w:val="243F60" w:themeColor="accent1" w:themeShade="7f"/>
    </w:rPr>
  </w:style>
  <w:style w:type="paragraph" w:styleId="7">
    <w:name w:val="Heading 7"/>
    <w:basedOn w:val="Normal"/>
    <w:link w:val="70"/>
    <w:qFormat/>
    <w:rsid w:val="00395c6e"/>
    <w:pPr>
      <w:keepNext/>
      <w:tabs>
        <w:tab w:val="left" w:pos="751" w:leader="none"/>
      </w:tabs>
      <w:spacing w:lineRule="auto" w:line="360"/>
      <w:outlineLvl w:val="6"/>
    </w:pPr>
    <w:rPr>
      <w:sz w:val="28"/>
    </w:rPr>
  </w:style>
  <w:style w:type="paragraph" w:styleId="8">
    <w:name w:val="Heading 8"/>
    <w:basedOn w:val="Normal"/>
    <w:link w:val="80"/>
    <w:qFormat/>
    <w:rsid w:val="00395c6e"/>
    <w:pPr>
      <w:keepNext/>
      <w:jc w:val="center"/>
      <w:outlineLvl w:val="7"/>
    </w:pPr>
    <w:rPr>
      <w:sz w:val="28"/>
    </w:rPr>
  </w:style>
  <w:style w:type="paragraph" w:styleId="9">
    <w:name w:val="Heading 9"/>
    <w:basedOn w:val="Normal"/>
    <w:link w:val="90"/>
    <w:semiHidden/>
    <w:unhideWhenUsed/>
    <w:qFormat/>
    <w:rsid w:val="00395c6e"/>
    <w:pPr>
      <w:keepNext/>
      <w:ind w:firstLine="1692"/>
      <w:outlineLvl w:val="8"/>
    </w:pPr>
    <w:rPr>
      <w:sz w:val="28"/>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
    <w:qFormat/>
    <w:rsid w:val="00f329e0"/>
    <w:rPr>
      <w:rFonts w:ascii="Times New Roman" w:hAnsi="Times New Roman" w:eastAsia="Times New Roman" w:cs="Times New Roman"/>
      <w:b/>
      <w:bCs/>
      <w:sz w:val="48"/>
      <w:szCs w:val="48"/>
      <w:lang w:eastAsia="ru-RU"/>
    </w:rPr>
  </w:style>
  <w:style w:type="character" w:styleId="61" w:customStyle="1">
    <w:name w:val="Заголовок 6 Знак"/>
    <w:basedOn w:val="DefaultParagraphFont"/>
    <w:link w:val="6"/>
    <w:qFormat/>
    <w:rsid w:val="00a7082f"/>
    <w:rPr>
      <w:rFonts w:ascii="Cambria" w:hAnsi="Cambria" w:eastAsia="" w:cs="" w:asciiTheme="majorHAnsi" w:cstheme="majorBidi" w:eastAsiaTheme="majorEastAsia" w:hAnsiTheme="majorHAnsi"/>
      <w:i/>
      <w:iCs/>
      <w:color w:val="243F60" w:themeColor="accent1" w:themeShade="7f"/>
      <w:sz w:val="24"/>
      <w:szCs w:val="24"/>
      <w:lang w:eastAsia="ru-RU"/>
    </w:rPr>
  </w:style>
  <w:style w:type="character" w:styleId="21" w:customStyle="1">
    <w:name w:val="Заголовок 2 Знак"/>
    <w:basedOn w:val="DefaultParagraphFont"/>
    <w:link w:val="2"/>
    <w:qFormat/>
    <w:rsid w:val="00395c6e"/>
    <w:rPr>
      <w:rFonts w:ascii="Arial" w:hAnsi="Arial" w:eastAsia="Times New Roman" w:cs="Arial"/>
      <w:b/>
      <w:bCs/>
      <w:i/>
      <w:iCs/>
      <w:sz w:val="28"/>
      <w:szCs w:val="28"/>
      <w:lang w:eastAsia="ru-RU"/>
    </w:rPr>
  </w:style>
  <w:style w:type="character" w:styleId="31" w:customStyle="1">
    <w:name w:val="Заголовок 3 Знак"/>
    <w:basedOn w:val="DefaultParagraphFont"/>
    <w:link w:val="3"/>
    <w:qFormat/>
    <w:rsid w:val="00395c6e"/>
    <w:rPr>
      <w:rFonts w:ascii="Arial" w:hAnsi="Arial" w:eastAsia="Times New Roman" w:cs="Arial"/>
      <w:b/>
      <w:bCs/>
      <w:sz w:val="26"/>
      <w:szCs w:val="26"/>
      <w:lang w:eastAsia="ru-RU"/>
    </w:rPr>
  </w:style>
  <w:style w:type="character" w:styleId="41" w:customStyle="1">
    <w:name w:val="Заголовок 4 Знак"/>
    <w:basedOn w:val="DefaultParagraphFont"/>
    <w:link w:val="4"/>
    <w:qFormat/>
    <w:rsid w:val="00395c6e"/>
    <w:rPr>
      <w:rFonts w:ascii="Calibri" w:hAnsi="Calibri" w:eastAsia="Times New Roman" w:cs="Times New Roman"/>
      <w:b/>
      <w:bCs/>
      <w:sz w:val="28"/>
      <w:szCs w:val="28"/>
      <w:lang w:eastAsia="ru-RU"/>
    </w:rPr>
  </w:style>
  <w:style w:type="character" w:styleId="51" w:customStyle="1">
    <w:name w:val="Заголовок 5 Знак"/>
    <w:basedOn w:val="DefaultParagraphFont"/>
    <w:link w:val="5"/>
    <w:semiHidden/>
    <w:qFormat/>
    <w:rsid w:val="00395c6e"/>
    <w:rPr>
      <w:rFonts w:ascii="Arial" w:hAnsi="Arial" w:eastAsia="Times New Roman" w:cs="Arial"/>
      <w:b/>
      <w:bCs/>
      <w:sz w:val="36"/>
      <w:szCs w:val="24"/>
      <w:lang w:eastAsia="ru-RU"/>
    </w:rPr>
  </w:style>
  <w:style w:type="character" w:styleId="71" w:customStyle="1">
    <w:name w:val="Заголовок 7 Знак"/>
    <w:basedOn w:val="DefaultParagraphFont"/>
    <w:link w:val="7"/>
    <w:qFormat/>
    <w:rsid w:val="00395c6e"/>
    <w:rPr>
      <w:rFonts w:ascii="Times New Roman" w:hAnsi="Times New Roman" w:eastAsia="Times New Roman" w:cs="Times New Roman"/>
      <w:sz w:val="28"/>
      <w:szCs w:val="24"/>
      <w:lang w:eastAsia="ru-RU"/>
    </w:rPr>
  </w:style>
  <w:style w:type="character" w:styleId="81" w:customStyle="1">
    <w:name w:val="Заголовок 8 Знак"/>
    <w:basedOn w:val="DefaultParagraphFont"/>
    <w:link w:val="8"/>
    <w:qFormat/>
    <w:rsid w:val="00395c6e"/>
    <w:rPr>
      <w:rFonts w:ascii="Times New Roman" w:hAnsi="Times New Roman" w:eastAsia="Times New Roman" w:cs="Times New Roman"/>
      <w:sz w:val="28"/>
      <w:szCs w:val="24"/>
      <w:lang w:eastAsia="ru-RU"/>
    </w:rPr>
  </w:style>
  <w:style w:type="character" w:styleId="91" w:customStyle="1">
    <w:name w:val="Заголовок 9 Знак"/>
    <w:basedOn w:val="DefaultParagraphFont"/>
    <w:link w:val="9"/>
    <w:semiHidden/>
    <w:qFormat/>
    <w:rsid w:val="00395c6e"/>
    <w:rPr>
      <w:rFonts w:ascii="Times New Roman" w:hAnsi="Times New Roman" w:eastAsia="Times New Roman" w:cs="Times New Roman"/>
      <w:sz w:val="28"/>
      <w:szCs w:val="24"/>
      <w:lang w:eastAsia="ru-RU"/>
    </w:rPr>
  </w:style>
  <w:style w:type="character" w:styleId="111" w:customStyle="1">
    <w:name w:val="Заголовок 1 Знак1"/>
    <w:qFormat/>
    <w:locked/>
    <w:rsid w:val="00395c6e"/>
    <w:rPr>
      <w:rFonts w:ascii="Arial" w:hAnsi="Arial" w:cs="Arial"/>
      <w:b/>
      <w:bCs/>
      <w:sz w:val="32"/>
      <w:szCs w:val="32"/>
      <w:lang w:val="ru-RU" w:eastAsia="ru-RU" w:bidi="ar-SA"/>
    </w:rPr>
  </w:style>
  <w:style w:type="character" w:styleId="Style5" w:customStyle="1">
    <w:name w:val="Верхний колонтитул Знак"/>
    <w:basedOn w:val="DefaultParagraphFont"/>
    <w:link w:val="a3"/>
    <w:uiPriority w:val="99"/>
    <w:qFormat/>
    <w:rsid w:val="00395c6e"/>
    <w:rPr>
      <w:rFonts w:ascii="Times New Roman" w:hAnsi="Times New Roman" w:eastAsia="Times New Roman" w:cs="Times New Roman"/>
      <w:sz w:val="28"/>
      <w:szCs w:val="20"/>
      <w:lang w:val="uk-UA" w:eastAsia="ru-RU"/>
    </w:rPr>
  </w:style>
  <w:style w:type="character" w:styleId="Style6" w:customStyle="1">
    <w:name w:val="Нижний колонтитул Знак"/>
    <w:basedOn w:val="DefaultParagraphFont"/>
    <w:link w:val="a5"/>
    <w:uiPriority w:val="99"/>
    <w:qFormat/>
    <w:rsid w:val="00395c6e"/>
    <w:rPr>
      <w:rFonts w:ascii="Times New Roman" w:hAnsi="Times New Roman" w:eastAsia="Times New Roman" w:cs="Times New Roman"/>
      <w:sz w:val="24"/>
      <w:szCs w:val="24"/>
      <w:lang w:eastAsia="ru-RU"/>
    </w:rPr>
  </w:style>
  <w:style w:type="character" w:styleId="22" w:customStyle="1">
    <w:name w:val="Основной текст 2 Знак"/>
    <w:basedOn w:val="DefaultParagraphFont"/>
    <w:link w:val="21"/>
    <w:qFormat/>
    <w:rsid w:val="00395c6e"/>
    <w:rPr>
      <w:rFonts w:ascii="Arial" w:hAnsi="Arial" w:eastAsia="Times New Roman" w:cs="Arial"/>
      <w:sz w:val="18"/>
      <w:szCs w:val="20"/>
      <w:lang w:val="en-US" w:eastAsia="ru-RU"/>
    </w:rPr>
  </w:style>
  <w:style w:type="character" w:styleId="Style7" w:customStyle="1">
    <w:name w:val="Основной текст с отступом Знак"/>
    <w:basedOn w:val="DefaultParagraphFont"/>
    <w:link w:val="a8"/>
    <w:uiPriority w:val="99"/>
    <w:semiHidden/>
    <w:qFormat/>
    <w:rsid w:val="00395c6e"/>
    <w:rPr>
      <w:rFonts w:ascii="Times New Roman" w:hAnsi="Times New Roman" w:eastAsia="Times New Roman" w:cs="Times New Roman"/>
      <w:sz w:val="24"/>
      <w:szCs w:val="24"/>
      <w:lang w:eastAsia="ru-RU"/>
    </w:rPr>
  </w:style>
  <w:style w:type="character" w:styleId="12" w:customStyle="1">
    <w:name w:val="Основной текст с отступом Знак1"/>
    <w:link w:val="a8"/>
    <w:qFormat/>
    <w:locked/>
    <w:rsid w:val="00395c6e"/>
    <w:rPr>
      <w:rFonts w:ascii="Times New Roman" w:hAnsi="Times New Roman" w:eastAsia="Times New Roman" w:cs="Times New Roman"/>
      <w:sz w:val="24"/>
      <w:szCs w:val="24"/>
      <w:lang w:eastAsia="ru-RU"/>
    </w:rPr>
  </w:style>
  <w:style w:type="character" w:styleId="Style8" w:customStyle="1">
    <w:name w:val="Текст сноски Знак"/>
    <w:basedOn w:val="DefaultParagraphFont"/>
    <w:link w:val="ac"/>
    <w:semiHidden/>
    <w:qFormat/>
    <w:rsid w:val="00395c6e"/>
    <w:rPr>
      <w:rFonts w:ascii="Times New Roman" w:hAnsi="Times New Roman" w:eastAsia="Times New Roman" w:cs="Times New Roman"/>
      <w:sz w:val="20"/>
      <w:szCs w:val="20"/>
      <w:lang w:eastAsia="ru-RU"/>
    </w:rPr>
  </w:style>
  <w:style w:type="character" w:styleId="Footnotereference">
    <w:name w:val="footnote reference"/>
    <w:semiHidden/>
    <w:qFormat/>
    <w:rsid w:val="00395c6e"/>
    <w:rPr>
      <w:vertAlign w:val="superscript"/>
    </w:rPr>
  </w:style>
  <w:style w:type="character" w:styleId="Style9" w:customStyle="1">
    <w:name w:val="Основной текст Знак"/>
    <w:basedOn w:val="DefaultParagraphFont"/>
    <w:link w:val="af"/>
    <w:qFormat/>
    <w:rsid w:val="00395c6e"/>
    <w:rPr>
      <w:rFonts w:ascii="Times New Roman" w:hAnsi="Times New Roman" w:eastAsia="Times New Roman" w:cs="Times New Roman"/>
      <w:sz w:val="24"/>
      <w:szCs w:val="24"/>
      <w:lang w:eastAsia="ru-RU"/>
    </w:rPr>
  </w:style>
  <w:style w:type="character" w:styleId="Style10" w:customStyle="1">
    <w:name w:val="Текст примечания Знак"/>
    <w:basedOn w:val="DefaultParagraphFont"/>
    <w:link w:val="af1"/>
    <w:semiHidden/>
    <w:qFormat/>
    <w:rsid w:val="00395c6e"/>
    <w:rPr>
      <w:rFonts w:ascii="Journal" w:hAnsi="Journal" w:eastAsia="Times New Roman" w:cs="Times New Roman"/>
      <w:sz w:val="24"/>
      <w:szCs w:val="20"/>
      <w:lang w:val="uk-UA" w:eastAsia="ru-RU"/>
    </w:rPr>
  </w:style>
  <w:style w:type="character" w:styleId="Style11">
    <w:name w:val="Интернет-ссылка"/>
    <w:uiPriority w:val="99"/>
    <w:rsid w:val="00395c6e"/>
    <w:rPr>
      <w:color w:val="0000FF"/>
      <w:u w:val="single"/>
    </w:rPr>
  </w:style>
  <w:style w:type="character" w:styleId="32" w:customStyle="1">
    <w:name w:val="Основной текст 3 Знак"/>
    <w:basedOn w:val="DefaultParagraphFont"/>
    <w:link w:val="31"/>
    <w:qFormat/>
    <w:rsid w:val="00395c6e"/>
    <w:rPr>
      <w:rFonts w:ascii="Times New Roman" w:hAnsi="Times New Roman" w:eastAsia="Times New Roman" w:cs="Times New Roman"/>
      <w:sz w:val="16"/>
      <w:szCs w:val="16"/>
      <w:lang w:eastAsia="ru-RU"/>
    </w:rPr>
  </w:style>
  <w:style w:type="character" w:styleId="FontStyle78" w:customStyle="1">
    <w:name w:val="Font Style78"/>
    <w:qFormat/>
    <w:rsid w:val="00395c6e"/>
    <w:rPr>
      <w:rFonts w:ascii="Times New Roman" w:hAnsi="Times New Roman" w:cs="Times New Roman"/>
      <w:color w:val="000000"/>
      <w:sz w:val="26"/>
      <w:szCs w:val="26"/>
    </w:rPr>
  </w:style>
  <w:style w:type="character" w:styleId="Normal1" w:customStyle="1">
    <w:name w:val="Normal Знак"/>
    <w:link w:val="13"/>
    <w:qFormat/>
    <w:rsid w:val="00395c6e"/>
    <w:rPr>
      <w:rFonts w:ascii="Times New Roman" w:hAnsi="Times New Roman" w:eastAsia="Times New Roman" w:cs="Times New Roman"/>
      <w:szCs w:val="20"/>
      <w:lang w:eastAsia="ru-RU"/>
    </w:rPr>
  </w:style>
  <w:style w:type="character" w:styleId="Style12" w:customStyle="1">
    <w:name w:val="Название Знак"/>
    <w:basedOn w:val="DefaultParagraphFont"/>
    <w:link w:val="af7"/>
    <w:qFormat/>
    <w:rsid w:val="00395c6e"/>
    <w:rPr>
      <w:rFonts w:ascii="Arial" w:hAnsi="Arial" w:eastAsia="Times New Roman" w:cs="Times New Roman"/>
      <w:b/>
      <w:sz w:val="32"/>
      <w:szCs w:val="20"/>
      <w:lang w:eastAsia="ru-RU"/>
    </w:rPr>
  </w:style>
  <w:style w:type="character" w:styleId="33" w:customStyle="1">
    <w:name w:val="Основной текст с отступом 3 Знак"/>
    <w:basedOn w:val="DefaultParagraphFont"/>
    <w:link w:val="34"/>
    <w:qFormat/>
    <w:rsid w:val="00395c6e"/>
    <w:rPr>
      <w:rFonts w:ascii="Times New Roman" w:hAnsi="Times New Roman" w:eastAsia="Times New Roman" w:cs="Times New Roman"/>
      <w:sz w:val="16"/>
      <w:szCs w:val="16"/>
      <w:lang w:eastAsia="ru-RU"/>
    </w:rPr>
  </w:style>
  <w:style w:type="character" w:styleId="Pagenumber">
    <w:name w:val="page number"/>
    <w:basedOn w:val="DefaultParagraphFont"/>
    <w:qFormat/>
    <w:rsid w:val="00395c6e"/>
    <w:rPr/>
  </w:style>
  <w:style w:type="character" w:styleId="23" w:customStyle="1">
    <w:name w:val="Основной текст с отступом 2 Знак"/>
    <w:basedOn w:val="DefaultParagraphFont"/>
    <w:link w:val="25"/>
    <w:qFormat/>
    <w:rsid w:val="00395c6e"/>
    <w:rPr>
      <w:rFonts w:ascii="Times New Roman" w:hAnsi="Times New Roman" w:eastAsia="Times New Roman" w:cs="Times New Roman"/>
      <w:sz w:val="28"/>
      <w:szCs w:val="28"/>
      <w:lang w:eastAsia="ru-RU"/>
    </w:rPr>
  </w:style>
  <w:style w:type="character" w:styleId="Style13" w:customStyle="1">
    <w:name w:val="Абзац списка Знак"/>
    <w:link w:val="afb"/>
    <w:qFormat/>
    <w:rsid w:val="00395c6e"/>
    <w:rPr>
      <w:rFonts w:ascii="Times New Roman" w:hAnsi="Times New Roman" w:eastAsia="Times New Roman" w:cs="Times New Roman"/>
      <w:sz w:val="28"/>
    </w:rPr>
  </w:style>
  <w:style w:type="character" w:styleId="Style14" w:customStyle="1">
    <w:name w:val="Текст выноски Знак"/>
    <w:basedOn w:val="DefaultParagraphFont"/>
    <w:link w:val="afd"/>
    <w:semiHidden/>
    <w:qFormat/>
    <w:rsid w:val="00395c6e"/>
    <w:rPr>
      <w:rFonts w:ascii="Tahoma" w:hAnsi="Tahoma" w:eastAsia="Times New Roman" w:cs="Tahoma"/>
      <w:sz w:val="16"/>
      <w:szCs w:val="16"/>
      <w:lang w:eastAsia="ru-RU"/>
    </w:rPr>
  </w:style>
  <w:style w:type="character" w:styleId="Style15" w:customStyle="1">
    <w:name w:val="Схема документа Знак"/>
    <w:basedOn w:val="DefaultParagraphFont"/>
    <w:link w:val="aff"/>
    <w:semiHidden/>
    <w:qFormat/>
    <w:rsid w:val="00395c6e"/>
    <w:rPr>
      <w:rFonts w:ascii="Tahoma" w:hAnsi="Tahoma" w:eastAsia="Times New Roman" w:cs="Tahoma"/>
      <w:sz w:val="20"/>
      <w:szCs w:val="20"/>
      <w:shd w:fill="000080" w:val="clear"/>
      <w:lang w:eastAsia="ru-RU"/>
    </w:rPr>
  </w:style>
  <w:style w:type="character" w:styleId="Style16" w:customStyle="1">
    <w:name w:val="Текст Знак"/>
    <w:basedOn w:val="DefaultParagraphFont"/>
    <w:link w:val="aff1"/>
    <w:qFormat/>
    <w:rsid w:val="00395c6e"/>
    <w:rPr>
      <w:rFonts w:ascii="Courier New" w:hAnsi="Courier New" w:eastAsia="Times New Roman" w:cs="Times New Roman"/>
      <w:sz w:val="20"/>
      <w:szCs w:val="24"/>
      <w:lang w:eastAsia="ru-RU"/>
    </w:rPr>
  </w:style>
  <w:style w:type="character" w:styleId="Style17" w:customStyle="1">
    <w:name w:val="Красная строка Знак"/>
    <w:basedOn w:val="Style9"/>
    <w:link w:val="aff4"/>
    <w:qFormat/>
    <w:rsid w:val="00395c6e"/>
    <w:rPr/>
  </w:style>
  <w:style w:type="character" w:styleId="BodyTextChar" w:customStyle="1">
    <w:name w:val="Body Text Char"/>
    <w:qFormat/>
    <w:locked/>
    <w:rsid w:val="00395c6e"/>
    <w:rPr>
      <w:rFonts w:ascii="Times New Roman" w:hAnsi="Times New Roman" w:cs="Times New Roman"/>
      <w:sz w:val="24"/>
      <w:szCs w:val="24"/>
      <w:lang w:eastAsia="ru-RU"/>
    </w:rPr>
  </w:style>
  <w:style w:type="character" w:styleId="FollowedHyperlink">
    <w:name w:val="FollowedHyperlink"/>
    <w:uiPriority w:val="99"/>
    <w:qFormat/>
    <w:rsid w:val="00395c6e"/>
    <w:rPr>
      <w:color w:val="800080"/>
      <w:u w:val="single"/>
    </w:rPr>
  </w:style>
  <w:style w:type="character" w:styleId="112" w:customStyle="1">
    <w:name w:val="Знак Знак11"/>
    <w:semiHidden/>
    <w:qFormat/>
    <w:rsid w:val="00395c6e"/>
    <w:rPr>
      <w:rFonts w:ascii="Arial" w:hAnsi="Arial" w:cs="Arial"/>
      <w:b/>
      <w:bCs/>
      <w:color w:val="000000"/>
      <w:sz w:val="26"/>
      <w:szCs w:val="26"/>
    </w:rPr>
  </w:style>
  <w:style w:type="character" w:styleId="TitleChar" w:customStyle="1">
    <w:name w:val="Title Char"/>
    <w:qFormat/>
    <w:locked/>
    <w:rsid w:val="00395c6e"/>
    <w:rPr>
      <w:rFonts w:ascii="Arial" w:hAnsi="Arial" w:cs="Arial"/>
      <w:sz w:val="24"/>
      <w:szCs w:val="24"/>
      <w:lang w:val="ru-RU" w:eastAsia="ru-RU" w:bidi="ar-SA"/>
    </w:rPr>
  </w:style>
  <w:style w:type="character" w:styleId="42" w:customStyle="1">
    <w:name w:val="Основной текст (4)_"/>
    <w:link w:val="42"/>
    <w:qFormat/>
    <w:rsid w:val="00395c6e"/>
    <w:rPr>
      <w:rFonts w:ascii="Arial" w:hAnsi="Arial"/>
      <w:sz w:val="19"/>
      <w:szCs w:val="19"/>
      <w:shd w:fill="FFFFFF" w:val="clear"/>
    </w:rPr>
  </w:style>
  <w:style w:type="character" w:styleId="62" w:customStyle="1">
    <w:name w:val="Основной текст (6)_"/>
    <w:link w:val="62"/>
    <w:qFormat/>
    <w:rsid w:val="00395c6e"/>
    <w:rPr>
      <w:rFonts w:ascii="Arial Narrow" w:hAnsi="Arial Narrow"/>
      <w:spacing w:val="90"/>
      <w:sz w:val="15"/>
      <w:szCs w:val="15"/>
      <w:shd w:fill="FFFFFF" w:val="clear"/>
    </w:rPr>
  </w:style>
  <w:style w:type="character" w:styleId="ArialNarrow" w:customStyle="1">
    <w:name w:val="Основной текст + Arial Narrow"/>
    <w:qFormat/>
    <w:rsid w:val="00395c6e"/>
    <w:rPr>
      <w:rFonts w:ascii="Arial Narrow" w:hAnsi="Arial Narrow" w:cs="Arial Narrow"/>
      <w:spacing w:val="90"/>
      <w:sz w:val="15"/>
      <w:szCs w:val="15"/>
    </w:rPr>
  </w:style>
  <w:style w:type="character" w:styleId="Style18" w:customStyle="1">
    <w:name w:val="Основной текст_"/>
    <w:qFormat/>
    <w:rsid w:val="00395c6e"/>
    <w:rPr>
      <w:spacing w:val="0"/>
      <w:sz w:val="19"/>
      <w:szCs w:val="19"/>
    </w:rPr>
  </w:style>
  <w:style w:type="character" w:styleId="Style19" w:customStyle="1">
    <w:name w:val="ТЕКСТ ГРАД Знак"/>
    <w:link w:val="affb"/>
    <w:qFormat/>
    <w:locked/>
    <w:rsid w:val="00395c6e"/>
    <w:rPr>
      <w:sz w:val="24"/>
      <w:szCs w:val="24"/>
    </w:rPr>
  </w:style>
  <w:style w:type="character" w:styleId="Style20" w:customStyle="1">
    <w:name w:val="Без интервала Знак"/>
    <w:link w:val="affc"/>
    <w:qFormat/>
    <w:rsid w:val="00395c6e"/>
    <w:rPr>
      <w:rFonts w:ascii="Calibri" w:hAnsi="Calibri" w:eastAsia="Times New Roman" w:cs="Times New Roman"/>
      <w:lang w:eastAsia="ru-RU"/>
    </w:rPr>
  </w:style>
  <w:style w:type="character" w:styleId="Heading3Char" w:customStyle="1">
    <w:name w:val="Heading 3 Char"/>
    <w:qFormat/>
    <w:locked/>
    <w:rsid w:val="00395c6e"/>
    <w:rPr>
      <w:rFonts w:ascii="Arial" w:hAnsi="Arial" w:cs="Arial"/>
      <w:b/>
      <w:bCs/>
      <w:sz w:val="26"/>
      <w:szCs w:val="26"/>
      <w:lang w:eastAsia="ru-RU"/>
    </w:rPr>
  </w:style>
  <w:style w:type="character" w:styleId="BodyTextIndentChar" w:customStyle="1">
    <w:name w:val="Body Text Indent Char"/>
    <w:qFormat/>
    <w:locked/>
    <w:rsid w:val="00395c6e"/>
    <w:rPr>
      <w:rFonts w:ascii="Times New Roman" w:hAnsi="Times New Roman" w:cs="Times New Roman"/>
      <w:sz w:val="24"/>
      <w:lang w:eastAsia="ru-RU"/>
    </w:rPr>
  </w:style>
  <w:style w:type="character" w:styleId="BodyText3Char" w:customStyle="1">
    <w:name w:val="Body Text 3 Char"/>
    <w:qFormat/>
    <w:locked/>
    <w:rsid w:val="00395c6e"/>
    <w:rPr>
      <w:rFonts w:ascii="Times New Roman" w:hAnsi="Times New Roman" w:cs="Times New Roman"/>
      <w:sz w:val="16"/>
      <w:szCs w:val="16"/>
      <w:lang w:eastAsia="ru-RU"/>
    </w:rPr>
  </w:style>
  <w:style w:type="character" w:styleId="TitleChar1" w:customStyle="1">
    <w:name w:val="Title Char1"/>
    <w:qFormat/>
    <w:locked/>
    <w:rsid w:val="00395c6e"/>
    <w:rPr>
      <w:rFonts w:ascii="Arial" w:hAnsi="Arial" w:cs="Times New Roman"/>
      <w:b/>
      <w:sz w:val="20"/>
      <w:szCs w:val="20"/>
      <w:lang w:eastAsia="ru-RU"/>
    </w:rPr>
  </w:style>
  <w:style w:type="character" w:styleId="ListParagraphChar" w:customStyle="1">
    <w:name w:val="List Paragraph Char"/>
    <w:link w:val="18"/>
    <w:qFormat/>
    <w:locked/>
    <w:rsid w:val="00395c6e"/>
    <w:rPr>
      <w:rFonts w:ascii="Times New Roman" w:hAnsi="Times New Roman" w:eastAsia="Times New Roman" w:cs="Times New Roman"/>
      <w:sz w:val="28"/>
      <w:szCs w:val="20"/>
      <w:lang w:eastAsia="ru-RU"/>
    </w:rPr>
  </w:style>
  <w:style w:type="character" w:styleId="NoSpacingChar" w:customStyle="1">
    <w:name w:val="No Spacing Char"/>
    <w:link w:val="19"/>
    <w:qFormat/>
    <w:locked/>
    <w:rsid w:val="00395c6e"/>
    <w:rPr>
      <w:rFonts w:ascii="Calibri" w:hAnsi="Calibri" w:eastAsia="Times New Roman" w:cs="Times New Roman"/>
    </w:rPr>
  </w:style>
  <w:style w:type="character" w:styleId="Style21" w:customStyle="1">
    <w:name w:val="Подзаголовок Знак"/>
    <w:basedOn w:val="DefaultParagraphFont"/>
    <w:link w:val="afff0"/>
    <w:qFormat/>
    <w:rsid w:val="00395c6e"/>
    <w:rPr>
      <w:rFonts w:ascii="Times New Roman" w:hAnsi="Times New Roman" w:eastAsia="Times New Roman" w:cs="Times New Roman"/>
      <w:sz w:val="24"/>
      <w:szCs w:val="20"/>
      <w:lang w:eastAsia="ru-RU"/>
    </w:rPr>
  </w:style>
  <w:style w:type="character" w:styleId="Style22" w:customStyle="1">
    <w:name w:val="Тема примечания Знак"/>
    <w:basedOn w:val="Style10"/>
    <w:link w:val="afff3"/>
    <w:qFormat/>
    <w:rsid w:val="00395c6e"/>
    <w:rPr>
      <w:rFonts w:ascii="Times New Roman" w:hAnsi="Times New Roman"/>
      <w:b/>
      <w:bCs/>
      <w:sz w:val="20"/>
    </w:rPr>
  </w:style>
  <w:style w:type="character" w:styleId="Annotationreference">
    <w:name w:val="annotation reference"/>
    <w:unhideWhenUsed/>
    <w:qFormat/>
    <w:rsid w:val="00395c6e"/>
    <w:rPr>
      <w:sz w:val="16"/>
      <w:szCs w:val="16"/>
    </w:rPr>
  </w:style>
  <w:style w:type="character" w:styleId="ListLabel1">
    <w:name w:val="ListLabel 1"/>
    <w:qFormat/>
    <w:rPr>
      <w:rFonts w:cs="Times New Roman"/>
      <w:sz w:val="24"/>
      <w:szCs w:val="24"/>
    </w:rPr>
  </w:style>
  <w:style w:type="character" w:styleId="ListLabel2">
    <w:name w:val="ListLabel 2"/>
    <w:qFormat/>
    <w:rPr>
      <w:b/>
    </w:rPr>
  </w:style>
  <w:style w:type="character" w:styleId="ListLabel3">
    <w:name w:val="ListLabel 3"/>
    <w:qFormat/>
    <w:rPr>
      <w:rFonts w:cs="Times New Roman"/>
      <w:sz w:val="24"/>
      <w:szCs w:val="24"/>
    </w:rPr>
  </w:style>
  <w:style w:type="character" w:styleId="ListLabel4">
    <w:name w:val="ListLabel 4"/>
    <w:qFormat/>
    <w:rPr>
      <w:b/>
      <w:color w:val="00000A"/>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Times New Roman"/>
    </w:rPr>
  </w:style>
  <w:style w:type="character" w:styleId="ListLabel20">
    <w:name w:val="ListLabel 20"/>
    <w:qFormat/>
    <w:rPr>
      <w:rFonts w:cs="Times New Roman"/>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cs="Times New Roman"/>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sz w:val="24"/>
      <w:szCs w:val="24"/>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cs="Times New Roman"/>
    </w:rPr>
  </w:style>
  <w:style w:type="character" w:styleId="ListLabel38">
    <w:name w:val="ListLabel 38"/>
    <w:qFormat/>
    <w:rPr>
      <w:rFonts w:cs="Times New Roman"/>
    </w:rPr>
  </w:style>
  <w:style w:type="character" w:styleId="ListLabel39">
    <w:name w:val="ListLabel 39"/>
    <w:qFormat/>
    <w:rPr>
      <w:rFonts w:cs="Times New Roman"/>
    </w:rPr>
  </w:style>
  <w:style w:type="character" w:styleId="ListLabel40">
    <w:name w:val="ListLabel 40"/>
    <w:qFormat/>
    <w:rPr>
      <w:rFonts w:cs="Times New Roman"/>
    </w:rPr>
  </w:style>
  <w:style w:type="character" w:styleId="ListLabel41">
    <w:name w:val="ListLabel 41"/>
    <w:qFormat/>
    <w:rPr>
      <w:rFonts w:cs="Times New Roman"/>
    </w:rPr>
  </w:style>
  <w:style w:type="character" w:styleId="ListLabel42">
    <w:name w:val="ListLabel 42"/>
    <w:qFormat/>
    <w:rPr>
      <w:rFonts w:eastAsia="Times New Roman" w:cs="Times New Roman"/>
      <w:color w:val="00000A"/>
    </w:rPr>
  </w:style>
  <w:style w:type="character" w:styleId="ListLabel43">
    <w:name w:val="ListLabel 43"/>
    <w:qFormat/>
    <w:rPr>
      <w:rFonts w:eastAsia="Times New Roman" w:cs="Times New Roman"/>
      <w:color w:val="00000A"/>
    </w:rPr>
  </w:style>
  <w:style w:type="character" w:styleId="ListLabel44">
    <w:name w:val="ListLabel 44"/>
    <w:qFormat/>
    <w:rPr>
      <w:b/>
    </w:rPr>
  </w:style>
  <w:style w:type="character" w:styleId="ListLabel45">
    <w:name w:val="ListLabel 45"/>
    <w:qFormat/>
    <w:rPr>
      <w:b/>
    </w:rPr>
  </w:style>
  <w:style w:type="character" w:styleId="ListLabel46">
    <w:name w:val="ListLabel 46"/>
    <w:qFormat/>
    <w:rPr>
      <w:b/>
      <w:color w:val="00000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b/>
    </w:rPr>
  </w:style>
  <w:style w:type="character" w:styleId="ListLabel78">
    <w:name w:val="ListLabel 78"/>
    <w:qFormat/>
    <w:rPr>
      <w:rFonts w:cs="Times New Roman"/>
      <w:sz w:val="24"/>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cs="Times New Roman"/>
    </w:rPr>
  </w:style>
  <w:style w:type="character" w:styleId="ListLabel82">
    <w:name w:val="ListLabel 82"/>
    <w:qFormat/>
    <w:rPr>
      <w:rFonts w:cs="Times New Roman"/>
    </w:rPr>
  </w:style>
  <w:style w:type="character" w:styleId="ListLabel83">
    <w:name w:val="ListLabel 83"/>
    <w:qFormat/>
    <w:rPr>
      <w:rFonts w:cs="Times New Roman"/>
    </w:rPr>
  </w:style>
  <w:style w:type="character" w:styleId="ListLabel84">
    <w:name w:val="ListLabel 84"/>
    <w:qFormat/>
    <w:rPr>
      <w:rFonts w:cs="Times New Roman"/>
    </w:rPr>
  </w:style>
  <w:style w:type="character" w:styleId="ListLabel85">
    <w:name w:val="ListLabel 85"/>
    <w:qFormat/>
    <w:rPr>
      <w:rFonts w:cs="Times New Roman"/>
    </w:rPr>
  </w:style>
  <w:style w:type="character" w:styleId="ListLabel86">
    <w:name w:val="ListLabel 86"/>
    <w:qFormat/>
    <w:rPr>
      <w:rFonts w:cs="Times New Roman"/>
    </w:rPr>
  </w:style>
  <w:style w:type="character" w:styleId="ListLabel87">
    <w:name w:val="ListLabel 87"/>
    <w:qFormat/>
    <w:rPr>
      <w:b/>
    </w:rPr>
  </w:style>
  <w:style w:type="character" w:styleId="ListLabel88">
    <w:name w:val="ListLabel 88"/>
    <w:qFormat/>
    <w:rPr>
      <w:color w:val="00000A"/>
    </w:rPr>
  </w:style>
  <w:style w:type="character" w:styleId="ListLabel89">
    <w:name w:val="ListLabel 89"/>
    <w:qFormat/>
    <w:rPr>
      <w:color w:val="00000A"/>
    </w:rPr>
  </w:style>
  <w:style w:type="character" w:styleId="ListLabel90">
    <w:name w:val="ListLabel 90"/>
    <w:qFormat/>
    <w:rPr>
      <w:color w:val="00000A"/>
    </w:rPr>
  </w:style>
  <w:style w:type="character" w:styleId="ListLabel91">
    <w:name w:val="ListLabel 91"/>
    <w:qFormat/>
    <w:rPr>
      <w:rFonts w:cs="Times New Roman"/>
      <w:sz w:val="24"/>
      <w:szCs w:val="24"/>
    </w:rPr>
  </w:style>
  <w:style w:type="character" w:styleId="ListLabel92">
    <w:name w:val="ListLabel 92"/>
    <w:qFormat/>
    <w:rPr>
      <w:rFonts w:cs="Times New Roman"/>
    </w:rPr>
  </w:style>
  <w:style w:type="character" w:styleId="ListLabel93">
    <w:name w:val="ListLabel 93"/>
    <w:qFormat/>
    <w:rPr>
      <w:rFonts w:cs="Times New Roman"/>
      <w:sz w:val="24"/>
    </w:rPr>
  </w:style>
  <w:style w:type="character" w:styleId="ListLabel94">
    <w:name w:val="ListLabel 94"/>
    <w:qFormat/>
    <w:rPr>
      <w:rFonts w:cs="Times New Roman"/>
    </w:rPr>
  </w:style>
  <w:style w:type="character" w:styleId="ListLabel95">
    <w:name w:val="ListLabel 95"/>
    <w:qFormat/>
    <w:rPr>
      <w:rFonts w:cs="Times New Roman"/>
    </w:rPr>
  </w:style>
  <w:style w:type="character" w:styleId="ListLabel96">
    <w:name w:val="ListLabel 96"/>
    <w:qFormat/>
    <w:rPr>
      <w:rFonts w:cs="Times New Roman"/>
    </w:rPr>
  </w:style>
  <w:style w:type="character" w:styleId="ListLabel97">
    <w:name w:val="ListLabel 97"/>
    <w:qFormat/>
    <w:rPr>
      <w:rFonts w:cs="Times New Roman"/>
    </w:rPr>
  </w:style>
  <w:style w:type="character" w:styleId="ListLabel98">
    <w:name w:val="ListLabel 98"/>
    <w:qFormat/>
    <w:rPr>
      <w:rFonts w:cs="Times New Roman"/>
    </w:rPr>
  </w:style>
  <w:style w:type="character" w:styleId="ListLabel99">
    <w:name w:val="ListLabel 99"/>
    <w:qFormat/>
    <w:rPr>
      <w:rFonts w:cs="Times New Roman"/>
    </w:rPr>
  </w:style>
  <w:style w:type="character" w:styleId="ListLabel100">
    <w:name w:val="ListLabel 100"/>
    <w:qFormat/>
    <w:rPr>
      <w:rFonts w:cs="Times New Roman"/>
    </w:rPr>
  </w:style>
  <w:style w:type="character" w:styleId="ListLabel101">
    <w:name w:val="ListLabel 101"/>
    <w:qFormat/>
    <w:rPr>
      <w:rFonts w:cs="Times New Roman"/>
    </w:rPr>
  </w:style>
  <w:style w:type="character" w:styleId="Style23">
    <w:name w:val="Ссылка указателя"/>
    <w:qFormat/>
    <w:rPr/>
  </w:style>
  <w:style w:type="paragraph" w:styleId="Style24" w:customStyle="1">
    <w:name w:val="Заголовок"/>
    <w:basedOn w:val="Normal"/>
    <w:next w:val="Style25"/>
    <w:qFormat/>
    <w:rsid w:val="00395c6e"/>
    <w:pPr>
      <w:keepNext/>
      <w:suppressAutoHyphens w:val="true"/>
      <w:spacing w:lineRule="auto" w:line="360" w:before="240" w:after="120"/>
    </w:pPr>
    <w:rPr>
      <w:rFonts w:ascii="Arial" w:hAnsi="Arial" w:eastAsia="MS Mincho" w:cs="Tahoma"/>
      <w:sz w:val="28"/>
      <w:szCs w:val="28"/>
      <w:lang w:eastAsia="ar-SA"/>
    </w:rPr>
  </w:style>
  <w:style w:type="paragraph" w:styleId="Style25">
    <w:name w:val="Body Text"/>
    <w:basedOn w:val="Normal"/>
    <w:link w:val="af0"/>
    <w:rsid w:val="00395c6e"/>
    <w:pPr>
      <w:spacing w:before="0" w:after="120"/>
    </w:pPr>
    <w:rPr/>
  </w:style>
  <w:style w:type="paragraph" w:styleId="Style26">
    <w:name w:val="List"/>
    <w:basedOn w:val="Normal"/>
    <w:rsid w:val="00395c6e"/>
    <w:pPr>
      <w:ind w:left="283" w:hanging="283"/>
    </w:pPr>
    <w:rPr>
      <w:sz w:val="20"/>
      <w:szCs w:val="20"/>
    </w:rPr>
  </w:style>
  <w:style w:type="paragraph" w:styleId="Style27">
    <w:name w:val="Caption"/>
    <w:basedOn w:val="Normal"/>
    <w:qFormat/>
    <w:pPr>
      <w:suppressLineNumbers/>
      <w:spacing w:before="120" w:after="120"/>
    </w:pPr>
    <w:rPr>
      <w:rFonts w:cs="Mangal"/>
      <w:i/>
      <w:iCs/>
      <w:sz w:val="24"/>
      <w:szCs w:val="24"/>
    </w:rPr>
  </w:style>
  <w:style w:type="paragraph" w:styleId="Style28">
    <w:name w:val="Указатель"/>
    <w:basedOn w:val="Normal"/>
    <w:qFormat/>
    <w:pPr>
      <w:suppressLineNumbers/>
    </w:pPr>
    <w:rPr>
      <w:rFonts w:cs="Mangal"/>
    </w:rPr>
  </w:style>
  <w:style w:type="paragraph" w:styleId="Style29">
    <w:name w:val="Header"/>
    <w:basedOn w:val="Normal"/>
    <w:link w:val="a4"/>
    <w:uiPriority w:val="99"/>
    <w:rsid w:val="00395c6e"/>
    <w:pPr>
      <w:tabs>
        <w:tab w:val="center" w:pos="4153" w:leader="none"/>
        <w:tab w:val="right" w:pos="8306" w:leader="none"/>
      </w:tabs>
      <w:jc w:val="both"/>
    </w:pPr>
    <w:rPr>
      <w:sz w:val="28"/>
      <w:szCs w:val="20"/>
      <w:lang w:val="uk-UA"/>
    </w:rPr>
  </w:style>
  <w:style w:type="paragraph" w:styleId="Style30">
    <w:name w:val="Footer"/>
    <w:basedOn w:val="Normal"/>
    <w:link w:val="a6"/>
    <w:uiPriority w:val="99"/>
    <w:rsid w:val="00395c6e"/>
    <w:pPr>
      <w:tabs>
        <w:tab w:val="center" w:pos="4677" w:leader="none"/>
        <w:tab w:val="right" w:pos="9355" w:leader="none"/>
      </w:tabs>
    </w:pPr>
    <w:rPr/>
  </w:style>
  <w:style w:type="paragraph" w:styleId="Xl30" w:customStyle="1">
    <w:name w:val="xl30"/>
    <w:basedOn w:val="Normal"/>
    <w:qFormat/>
    <w:rsid w:val="00395c6e"/>
    <w:pPr>
      <w:spacing w:beforeAutospacing="1" w:afterAutospacing="1"/>
      <w:jc w:val="center"/>
    </w:pPr>
    <w:rPr/>
  </w:style>
  <w:style w:type="paragraph" w:styleId="BodyText2">
    <w:name w:val="Body Text 2"/>
    <w:basedOn w:val="Normal"/>
    <w:link w:val="22"/>
    <w:qFormat/>
    <w:rsid w:val="00395c6e"/>
    <w:pPr>
      <w:jc w:val="both"/>
    </w:pPr>
    <w:rPr>
      <w:rFonts w:ascii="Arial" w:hAnsi="Arial" w:cs="Arial"/>
      <w:sz w:val="18"/>
      <w:szCs w:val="20"/>
      <w:lang w:val="en-US"/>
    </w:rPr>
  </w:style>
  <w:style w:type="paragraph" w:styleId="Style31" w:customStyle="1">
    <w:name w:val="Чертежный"/>
    <w:qFormat/>
    <w:rsid w:val="00395c6e"/>
    <w:pPr>
      <w:widowControl/>
      <w:bidi w:val="0"/>
      <w:spacing w:lineRule="auto" w:line="240" w:before="0" w:after="0"/>
      <w:jc w:val="both"/>
    </w:pPr>
    <w:rPr>
      <w:rFonts w:ascii="ISOCPEUR" w:hAnsi="ISOCPEUR" w:eastAsia="Times New Roman" w:cs="Times New Roman"/>
      <w:i/>
      <w:color w:val="auto"/>
      <w:sz w:val="28"/>
      <w:szCs w:val="20"/>
      <w:lang w:val="uk-UA" w:eastAsia="ru-RU" w:bidi="ar-SA"/>
    </w:rPr>
  </w:style>
  <w:style w:type="paragraph" w:styleId="FR3" w:customStyle="1">
    <w:name w:val="FR3"/>
    <w:qFormat/>
    <w:rsid w:val="00395c6e"/>
    <w:pPr>
      <w:widowControl w:val="false"/>
      <w:bidi w:val="0"/>
      <w:spacing w:lineRule="auto" w:line="240" w:before="360" w:after="0"/>
      <w:jc w:val="center"/>
    </w:pPr>
    <w:rPr>
      <w:rFonts w:ascii="Arial" w:hAnsi="Arial" w:eastAsia="Times New Roman" w:cs="Arial"/>
      <w:b/>
      <w:bCs/>
      <w:color w:val="auto"/>
      <w:sz w:val="24"/>
      <w:szCs w:val="24"/>
      <w:lang w:eastAsia="ru-RU" w:val="ru-RU" w:bidi="ar-SA"/>
    </w:rPr>
  </w:style>
  <w:style w:type="paragraph" w:styleId="Style32">
    <w:name w:val="Body Text Indent"/>
    <w:basedOn w:val="Normal"/>
    <w:link w:val="12"/>
    <w:rsid w:val="00395c6e"/>
    <w:pPr>
      <w:spacing w:before="0" w:after="120"/>
      <w:ind w:left="283" w:hanging="0"/>
    </w:pPr>
    <w:rPr/>
  </w:style>
  <w:style w:type="paragraph" w:styleId="24" w:customStyle="1">
    <w:name w:val="Îñíîâíîé òåêñò 2"/>
    <w:basedOn w:val="Normal"/>
    <w:qFormat/>
    <w:rsid w:val="00395c6e"/>
    <w:pPr>
      <w:ind w:firstLine="709"/>
      <w:jc w:val="both"/>
    </w:pPr>
    <w:rPr/>
  </w:style>
  <w:style w:type="paragraph" w:styleId="Bodytext1" w:customStyle="1">
    <w:name w:val="bodytext1"/>
    <w:basedOn w:val="Normal"/>
    <w:qFormat/>
    <w:rsid w:val="00395c6e"/>
    <w:pPr>
      <w:spacing w:before="0" w:after="150"/>
      <w:jc w:val="both"/>
    </w:pPr>
    <w:rPr/>
  </w:style>
  <w:style w:type="paragraph" w:styleId="NormalWeb">
    <w:name w:val="Normal (Web)"/>
    <w:basedOn w:val="Normal"/>
    <w:qFormat/>
    <w:rsid w:val="00395c6e"/>
    <w:pPr>
      <w:spacing w:beforeAutospacing="1" w:afterAutospacing="1"/>
    </w:pPr>
    <w:rPr/>
  </w:style>
  <w:style w:type="paragraph" w:styleId="Footnotetext">
    <w:name w:val="footnote text"/>
    <w:basedOn w:val="Normal"/>
    <w:link w:val="ad"/>
    <w:semiHidden/>
    <w:qFormat/>
    <w:rsid w:val="00395c6e"/>
    <w:pPr/>
    <w:rPr>
      <w:sz w:val="20"/>
      <w:szCs w:val="20"/>
    </w:rPr>
  </w:style>
  <w:style w:type="paragraph" w:styleId="ConsTitle" w:customStyle="1">
    <w:name w:val="ConsTitle"/>
    <w:qFormat/>
    <w:rsid w:val="00395c6e"/>
    <w:pPr>
      <w:widowControl w:val="false"/>
      <w:bidi w:val="0"/>
      <w:spacing w:lineRule="auto" w:line="240" w:before="0" w:after="0"/>
      <w:jc w:val="left"/>
    </w:pPr>
    <w:rPr>
      <w:rFonts w:ascii="Arial" w:hAnsi="Arial" w:eastAsia="Times New Roman" w:cs="Times New Roman"/>
      <w:b/>
      <w:color w:val="auto"/>
      <w:sz w:val="16"/>
      <w:szCs w:val="20"/>
      <w:lang w:eastAsia="ru-RU" w:val="ru-RU" w:bidi="ar-SA"/>
    </w:rPr>
  </w:style>
  <w:style w:type="paragraph" w:styleId="Annotationtext">
    <w:name w:val="annotation text"/>
    <w:basedOn w:val="Normal"/>
    <w:link w:val="af2"/>
    <w:semiHidden/>
    <w:qFormat/>
    <w:rsid w:val="00395c6e"/>
    <w:pPr>
      <w:jc w:val="both"/>
    </w:pPr>
    <w:rPr>
      <w:rFonts w:ascii="Journal" w:hAnsi="Journal"/>
      <w:szCs w:val="20"/>
      <w:lang w:val="uk-UA"/>
    </w:rPr>
  </w:style>
  <w:style w:type="paragraph" w:styleId="BodyText3">
    <w:name w:val="Body Text 3"/>
    <w:basedOn w:val="Normal"/>
    <w:link w:val="32"/>
    <w:qFormat/>
    <w:rsid w:val="00395c6e"/>
    <w:pPr>
      <w:spacing w:before="0" w:after="120"/>
    </w:pPr>
    <w:rPr>
      <w:sz w:val="16"/>
      <w:szCs w:val="16"/>
    </w:rPr>
  </w:style>
  <w:style w:type="paragraph" w:styleId="Caption">
    <w:name w:val="caption"/>
    <w:basedOn w:val="Normal"/>
    <w:qFormat/>
    <w:rsid w:val="00395c6e"/>
    <w:pPr/>
    <w:rPr>
      <w:b/>
      <w:bCs/>
      <w:sz w:val="20"/>
      <w:szCs w:val="20"/>
    </w:rPr>
  </w:style>
  <w:style w:type="paragraph" w:styleId="Style81" w:customStyle="1">
    <w:name w:val="Style8"/>
    <w:basedOn w:val="Normal"/>
    <w:qFormat/>
    <w:rsid w:val="00395c6e"/>
    <w:pPr>
      <w:widowControl w:val="false"/>
    </w:pPr>
    <w:rPr/>
  </w:style>
  <w:style w:type="paragraph" w:styleId="Style301" w:customStyle="1">
    <w:name w:val="Style30"/>
    <w:basedOn w:val="Normal"/>
    <w:qFormat/>
    <w:rsid w:val="00395c6e"/>
    <w:pPr>
      <w:widowControl w:val="false"/>
      <w:spacing w:lineRule="exact" w:line="317"/>
      <w:jc w:val="center"/>
    </w:pPr>
    <w:rPr/>
  </w:style>
  <w:style w:type="paragraph" w:styleId="Default" w:customStyle="1">
    <w:name w:val="Default"/>
    <w:qFormat/>
    <w:rsid w:val="00395c6e"/>
    <w:pPr>
      <w:widowControl/>
      <w:bidi w:val="0"/>
      <w:spacing w:lineRule="auto" w:line="240" w:before="0" w:after="0"/>
      <w:jc w:val="left"/>
    </w:pPr>
    <w:rPr>
      <w:rFonts w:ascii="Times New Roman" w:hAnsi="Times New Roman" w:eastAsia="Times New Roman" w:cs="Times New Roman"/>
      <w:color w:val="000000"/>
      <w:sz w:val="24"/>
      <w:szCs w:val="24"/>
      <w:lang w:eastAsia="ru-RU" w:val="ru-RU" w:bidi="ar-SA"/>
    </w:rPr>
  </w:style>
  <w:style w:type="paragraph" w:styleId="ListBullet">
    <w:name w:val="List Bullet"/>
    <w:basedOn w:val="Normal"/>
    <w:qFormat/>
    <w:rsid w:val="00395c6e"/>
    <w:pPr>
      <w:widowControl w:val="false"/>
      <w:tabs>
        <w:tab w:val="left" w:pos="284" w:leader="none"/>
      </w:tabs>
      <w:spacing w:before="120" w:after="0"/>
      <w:ind w:left="284" w:hanging="284"/>
      <w:jc w:val="both"/>
    </w:pPr>
    <w:rPr>
      <w:sz w:val="26"/>
      <w:szCs w:val="20"/>
    </w:rPr>
  </w:style>
  <w:style w:type="paragraph" w:styleId="13" w:customStyle="1">
    <w:name w:val="Обычный1"/>
    <w:link w:val="Normal"/>
    <w:qFormat/>
    <w:rsid w:val="00395c6e"/>
    <w:pPr>
      <w:widowControl/>
      <w:bidi w:val="0"/>
      <w:snapToGrid w:val="false"/>
      <w:spacing w:lineRule="auto" w:line="240" w:before="0" w:after="0"/>
      <w:jc w:val="left"/>
    </w:pPr>
    <w:rPr>
      <w:rFonts w:ascii="Times New Roman" w:hAnsi="Times New Roman" w:eastAsia="Times New Roman" w:cs="Times New Roman"/>
      <w:color w:val="auto"/>
      <w:sz w:val="24"/>
      <w:szCs w:val="20"/>
      <w:lang w:eastAsia="ru-RU" w:val="ru-RU" w:bidi="ar-SA"/>
    </w:rPr>
  </w:style>
  <w:style w:type="paragraph" w:styleId="36" w:customStyle="1">
    <w:name w:val="Стиль Заголовок 3 + Перед:  6 пт"/>
    <w:basedOn w:val="3"/>
    <w:qFormat/>
    <w:rsid w:val="00395c6e"/>
    <w:pPr>
      <w:spacing w:before="360" w:after="60"/>
    </w:pPr>
    <w:rPr>
      <w:rFonts w:cs="Times New Roman"/>
      <w:szCs w:val="20"/>
    </w:rPr>
  </w:style>
  <w:style w:type="paragraph" w:styleId="34">
    <w:name w:val="List Bullet 4"/>
    <w:basedOn w:val="Normal"/>
    <w:rsid w:val="00395c6e"/>
    <w:pPr>
      <w:ind w:left="849" w:hanging="283"/>
    </w:pPr>
    <w:rPr/>
  </w:style>
  <w:style w:type="paragraph" w:styleId="14" w:customStyle="1">
    <w:name w:val="Основной текст1"/>
    <w:basedOn w:val="13"/>
    <w:qFormat/>
    <w:rsid w:val="00395c6e"/>
    <w:pPr>
      <w:widowControl w:val="false"/>
      <w:snapToGrid w:val="true"/>
      <w:jc w:val="both"/>
    </w:pPr>
    <w:rPr>
      <w:sz w:val="23"/>
    </w:rPr>
  </w:style>
  <w:style w:type="paragraph" w:styleId="Style33" w:customStyle="1">
    <w:name w:val="Обычный + По ширине"/>
    <w:basedOn w:val="Normal"/>
    <w:qFormat/>
    <w:rsid w:val="00395c6e"/>
    <w:pPr/>
    <w:rPr/>
  </w:style>
  <w:style w:type="paragraph" w:styleId="Style34">
    <w:name w:val="Title"/>
    <w:basedOn w:val="Normal"/>
    <w:link w:val="af8"/>
    <w:qFormat/>
    <w:rsid w:val="00395c6e"/>
    <w:pPr>
      <w:spacing w:before="240" w:after="60"/>
      <w:jc w:val="center"/>
      <w:outlineLvl w:val="0"/>
    </w:pPr>
    <w:rPr>
      <w:rFonts w:ascii="Arial" w:hAnsi="Arial"/>
      <w:b/>
      <w:sz w:val="32"/>
      <w:szCs w:val="20"/>
    </w:rPr>
  </w:style>
  <w:style w:type="paragraph" w:styleId="BodyTextIndent3">
    <w:name w:val="Body Text Indent 3"/>
    <w:basedOn w:val="Normal"/>
    <w:link w:val="35"/>
    <w:qFormat/>
    <w:rsid w:val="00395c6e"/>
    <w:pPr>
      <w:spacing w:before="0" w:after="120"/>
      <w:ind w:left="283" w:hanging="0"/>
    </w:pPr>
    <w:rPr>
      <w:sz w:val="16"/>
      <w:szCs w:val="16"/>
    </w:rPr>
  </w:style>
  <w:style w:type="paragraph" w:styleId="ListBullet2">
    <w:name w:val="List Bullet 2"/>
    <w:basedOn w:val="Normal"/>
    <w:autoRedefine/>
    <w:qFormat/>
    <w:rsid w:val="00395c6e"/>
    <w:pPr>
      <w:overflowPunct w:val="true"/>
      <w:spacing w:lineRule="auto" w:line="360" w:before="120" w:after="0"/>
      <w:ind w:firstLine="850"/>
      <w:jc w:val="both"/>
      <w:textAlignment w:val="baseline"/>
    </w:pPr>
    <w:rPr>
      <w:b/>
      <w:bCs/>
      <w:sz w:val="28"/>
      <w:szCs w:val="28"/>
    </w:rPr>
  </w:style>
  <w:style w:type="paragraph" w:styleId="BodyTextIndent2">
    <w:name w:val="Body Text Indent 2"/>
    <w:basedOn w:val="Normal"/>
    <w:link w:val="26"/>
    <w:qFormat/>
    <w:rsid w:val="00395c6e"/>
    <w:pPr>
      <w:spacing w:lineRule="auto" w:line="480" w:before="0" w:after="120"/>
      <w:ind w:left="283" w:hanging="0"/>
    </w:pPr>
    <w:rPr>
      <w:sz w:val="28"/>
      <w:szCs w:val="28"/>
    </w:rPr>
  </w:style>
  <w:style w:type="paragraph" w:styleId="15" w:customStyle="1">
    <w:name w:val="çàãîëîâîê 1"/>
    <w:basedOn w:val="Normal"/>
    <w:qFormat/>
    <w:rsid w:val="00395c6e"/>
    <w:pPr>
      <w:keepNext/>
      <w:widowControl w:val="false"/>
      <w:jc w:val="center"/>
    </w:pPr>
    <w:rPr/>
  </w:style>
  <w:style w:type="paragraph" w:styleId="25" w:customStyle="1">
    <w:name w:val="çàãîëîâîê 2"/>
    <w:basedOn w:val="Normal"/>
    <w:qFormat/>
    <w:rsid w:val="00395c6e"/>
    <w:pPr>
      <w:keepNext/>
      <w:widowControl w:val="false"/>
    </w:pPr>
    <w:rPr>
      <w:rFonts w:ascii="Courier New" w:hAnsi="Courier New" w:cs="Courier New"/>
      <w:i/>
      <w:iCs/>
      <w:sz w:val="28"/>
      <w:szCs w:val="28"/>
      <w:u w:val="single"/>
    </w:rPr>
  </w:style>
  <w:style w:type="paragraph" w:styleId="121" w:customStyle="1">
    <w:name w:val="Стиль 12 пт По ширине Междустр.интервал:  полуторный"/>
    <w:basedOn w:val="Normal"/>
    <w:qFormat/>
    <w:rsid w:val="00395c6e"/>
    <w:pPr>
      <w:overflowPunct w:val="true"/>
      <w:spacing w:lineRule="auto" w:line="360"/>
      <w:jc w:val="both"/>
      <w:textAlignment w:val="baseline"/>
    </w:pPr>
    <w:rPr>
      <w:szCs w:val="20"/>
    </w:rPr>
  </w:style>
  <w:style w:type="paragraph" w:styleId="ListParagraph">
    <w:name w:val="List Paragraph"/>
    <w:basedOn w:val="Normal"/>
    <w:link w:val="afc"/>
    <w:qFormat/>
    <w:rsid w:val="00395c6e"/>
    <w:pPr>
      <w:spacing w:lineRule="auto" w:line="360" w:before="0" w:after="200"/>
      <w:ind w:left="720" w:hanging="0"/>
      <w:contextualSpacing/>
    </w:pPr>
    <w:rPr>
      <w:sz w:val="28"/>
      <w:szCs w:val="22"/>
      <w:lang w:eastAsia="en-US"/>
    </w:rPr>
  </w:style>
  <w:style w:type="paragraph" w:styleId="BalloonText">
    <w:name w:val="Balloon Text"/>
    <w:basedOn w:val="Normal"/>
    <w:link w:val="afe"/>
    <w:semiHidden/>
    <w:qFormat/>
    <w:rsid w:val="00395c6e"/>
    <w:pPr/>
    <w:rPr>
      <w:rFonts w:ascii="Tahoma" w:hAnsi="Tahoma" w:cs="Tahoma"/>
      <w:sz w:val="16"/>
      <w:szCs w:val="16"/>
    </w:rPr>
  </w:style>
  <w:style w:type="paragraph" w:styleId="DocumentMap">
    <w:name w:val="Document Map"/>
    <w:basedOn w:val="Normal"/>
    <w:link w:val="aff0"/>
    <w:semiHidden/>
    <w:qFormat/>
    <w:rsid w:val="00395c6e"/>
    <w:pPr>
      <w:shd w:val="clear" w:color="auto" w:fill="000080"/>
    </w:pPr>
    <w:rPr>
      <w:rFonts w:ascii="Tahoma" w:hAnsi="Tahoma" w:cs="Tahoma"/>
      <w:sz w:val="20"/>
      <w:szCs w:val="20"/>
    </w:rPr>
  </w:style>
  <w:style w:type="paragraph" w:styleId="PlainText">
    <w:name w:val="Plain Text"/>
    <w:basedOn w:val="Normal"/>
    <w:link w:val="aff2"/>
    <w:qFormat/>
    <w:rsid w:val="00395c6e"/>
    <w:pPr/>
    <w:rPr>
      <w:rFonts w:ascii="Courier New" w:hAnsi="Courier New"/>
      <w:sz w:val="20"/>
    </w:rPr>
  </w:style>
  <w:style w:type="paragraph" w:styleId="Iniiaiieoaeno" w:customStyle="1">
    <w:name w:val="Iniiaiie oaeno"/>
    <w:basedOn w:val="Normal"/>
    <w:qFormat/>
    <w:rsid w:val="00395c6e"/>
    <w:pPr/>
    <w:rPr/>
  </w:style>
  <w:style w:type="paragraph" w:styleId="Style35" w:customStyle="1">
    <w:name w:val="Îñíîâíîé òåêñò"/>
    <w:basedOn w:val="Normal"/>
    <w:qFormat/>
    <w:rsid w:val="00395c6e"/>
    <w:pPr/>
    <w:rPr/>
  </w:style>
  <w:style w:type="paragraph" w:styleId="BodyTextIndent">
    <w:name w:val="Body Text Indent"/>
    <w:basedOn w:val="Style25"/>
    <w:link w:val="aff5"/>
    <w:qFormat/>
    <w:rsid w:val="00395c6e"/>
    <w:pPr>
      <w:ind w:firstLine="210"/>
    </w:pPr>
    <w:rPr/>
  </w:style>
  <w:style w:type="paragraph" w:styleId="Textn" w:customStyle="1">
    <w:name w:val="textn"/>
    <w:basedOn w:val="Normal"/>
    <w:qFormat/>
    <w:rsid w:val="00395c6e"/>
    <w:pPr>
      <w:spacing w:beforeAutospacing="1" w:afterAutospacing="1"/>
    </w:pPr>
    <w:rPr/>
  </w:style>
  <w:style w:type="paragraph" w:styleId="Xl24" w:customStyle="1">
    <w:name w:val="xl24"/>
    <w:basedOn w:val="Normal"/>
    <w:qFormat/>
    <w:rsid w:val="00395c6e"/>
    <w:pPr>
      <w:pBdr>
        <w:top w:val="single" w:sz="4" w:space="0" w:color="00000A"/>
        <w:left w:val="single" w:sz="4" w:space="0" w:color="00000A"/>
        <w:bottom w:val="single" w:sz="4" w:space="0" w:color="00000A"/>
      </w:pBdr>
      <w:spacing w:beforeAutospacing="1" w:afterAutospacing="1"/>
      <w:jc w:val="center"/>
    </w:pPr>
    <w:rPr>
      <w:sz w:val="16"/>
      <w:szCs w:val="16"/>
    </w:rPr>
  </w:style>
  <w:style w:type="paragraph" w:styleId="Xl25" w:customStyle="1">
    <w:name w:val="xl25"/>
    <w:basedOn w:val="Normal"/>
    <w:qFormat/>
    <w:rsid w:val="00395c6e"/>
    <w:pPr>
      <w:pBdr>
        <w:top w:val="single" w:sz="4" w:space="0" w:color="00000A"/>
        <w:left w:val="single" w:sz="4" w:space="0" w:color="00000A"/>
        <w:bottom w:val="single" w:sz="4" w:space="0" w:color="00000A"/>
        <w:right w:val="single" w:sz="4" w:space="0" w:color="00000A"/>
      </w:pBdr>
      <w:spacing w:beforeAutospacing="1" w:afterAutospacing="1"/>
      <w:jc w:val="center"/>
    </w:pPr>
    <w:rPr>
      <w:sz w:val="16"/>
      <w:szCs w:val="16"/>
    </w:rPr>
  </w:style>
  <w:style w:type="paragraph" w:styleId="Xl26" w:customStyle="1">
    <w:name w:val="xl26"/>
    <w:basedOn w:val="Normal"/>
    <w:qFormat/>
    <w:rsid w:val="00395c6e"/>
    <w:pPr>
      <w:pBdr>
        <w:top w:val="single" w:sz="4" w:space="0" w:color="00000A"/>
        <w:left w:val="single" w:sz="4" w:space="0" w:color="00000A"/>
        <w:bottom w:val="single" w:sz="4" w:space="0" w:color="00000A"/>
        <w:right w:val="single" w:sz="4" w:space="0" w:color="00000A"/>
      </w:pBdr>
      <w:spacing w:beforeAutospacing="1" w:afterAutospacing="1"/>
      <w:jc w:val="center"/>
    </w:pPr>
    <w:rPr>
      <w:sz w:val="16"/>
      <w:szCs w:val="16"/>
    </w:rPr>
  </w:style>
  <w:style w:type="paragraph" w:styleId="Xl27" w:customStyle="1">
    <w:name w:val="xl27"/>
    <w:basedOn w:val="Normal"/>
    <w:qFormat/>
    <w:rsid w:val="00395c6e"/>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sz w:val="16"/>
      <w:szCs w:val="16"/>
    </w:rPr>
  </w:style>
  <w:style w:type="paragraph" w:styleId="Xl28" w:customStyle="1">
    <w:name w:val="xl28"/>
    <w:basedOn w:val="Normal"/>
    <w:qFormat/>
    <w:rsid w:val="00395c6e"/>
    <w:pPr>
      <w:pBdr>
        <w:top w:val="single" w:sz="4" w:space="0" w:color="00000A"/>
        <w:left w:val="single" w:sz="4" w:space="0" w:color="00000A"/>
        <w:right w:val="single" w:sz="4" w:space="0" w:color="00000A"/>
      </w:pBdr>
      <w:spacing w:beforeAutospacing="1" w:afterAutospacing="1"/>
      <w:jc w:val="center"/>
    </w:pPr>
    <w:rPr>
      <w:sz w:val="16"/>
      <w:szCs w:val="16"/>
    </w:rPr>
  </w:style>
  <w:style w:type="paragraph" w:styleId="Xl29" w:customStyle="1">
    <w:name w:val="xl29"/>
    <w:basedOn w:val="Normal"/>
    <w:qFormat/>
    <w:rsid w:val="00395c6e"/>
    <w:pPr>
      <w:pBdr>
        <w:top w:val="single" w:sz="4" w:space="0" w:color="00000A"/>
        <w:left w:val="single" w:sz="4" w:space="0" w:color="00000A"/>
      </w:pBdr>
      <w:spacing w:beforeAutospacing="1" w:afterAutospacing="1"/>
      <w:jc w:val="center"/>
      <w:textAlignment w:val="center"/>
    </w:pPr>
    <w:rPr>
      <w:sz w:val="16"/>
      <w:szCs w:val="16"/>
    </w:rPr>
  </w:style>
  <w:style w:type="paragraph" w:styleId="Xl31" w:customStyle="1">
    <w:name w:val="xl31"/>
    <w:basedOn w:val="Normal"/>
    <w:qFormat/>
    <w:rsid w:val="00395c6e"/>
    <w:pPr>
      <w:pBdr>
        <w:top w:val="single" w:sz="4" w:space="0" w:color="00000A"/>
        <w:right w:val="single" w:sz="4" w:space="0" w:color="00000A"/>
      </w:pBdr>
      <w:spacing w:beforeAutospacing="1" w:afterAutospacing="1"/>
      <w:jc w:val="center"/>
      <w:textAlignment w:val="center"/>
    </w:pPr>
    <w:rPr>
      <w:sz w:val="16"/>
      <w:szCs w:val="16"/>
    </w:rPr>
  </w:style>
  <w:style w:type="paragraph" w:styleId="Xl32" w:customStyle="1">
    <w:name w:val="xl32"/>
    <w:basedOn w:val="Normal"/>
    <w:qFormat/>
    <w:rsid w:val="00395c6e"/>
    <w:pPr>
      <w:pBdr>
        <w:left w:val="single" w:sz="4" w:space="0" w:color="00000A"/>
        <w:bottom w:val="single" w:sz="4" w:space="0" w:color="00000A"/>
      </w:pBdr>
      <w:spacing w:beforeAutospacing="1" w:afterAutospacing="1"/>
      <w:jc w:val="center"/>
      <w:textAlignment w:val="center"/>
    </w:pPr>
    <w:rPr>
      <w:sz w:val="16"/>
      <w:szCs w:val="16"/>
    </w:rPr>
  </w:style>
  <w:style w:type="paragraph" w:styleId="Xl33" w:customStyle="1">
    <w:name w:val="xl33"/>
    <w:basedOn w:val="Normal"/>
    <w:qFormat/>
    <w:rsid w:val="00395c6e"/>
    <w:pPr>
      <w:pBdr>
        <w:bottom w:val="single" w:sz="4" w:space="0" w:color="00000A"/>
      </w:pBdr>
      <w:spacing w:beforeAutospacing="1" w:afterAutospacing="1"/>
      <w:jc w:val="center"/>
      <w:textAlignment w:val="center"/>
    </w:pPr>
    <w:rPr>
      <w:sz w:val="16"/>
      <w:szCs w:val="16"/>
    </w:rPr>
  </w:style>
  <w:style w:type="paragraph" w:styleId="Xl34" w:customStyle="1">
    <w:name w:val="xl34"/>
    <w:basedOn w:val="Normal"/>
    <w:qFormat/>
    <w:rsid w:val="00395c6e"/>
    <w:pPr>
      <w:pBdr>
        <w:bottom w:val="single" w:sz="4" w:space="0" w:color="00000A"/>
        <w:right w:val="single" w:sz="4" w:space="0" w:color="00000A"/>
      </w:pBdr>
      <w:spacing w:beforeAutospacing="1" w:afterAutospacing="1"/>
      <w:jc w:val="center"/>
      <w:textAlignment w:val="center"/>
    </w:pPr>
    <w:rPr>
      <w:sz w:val="16"/>
      <w:szCs w:val="16"/>
    </w:rPr>
  </w:style>
  <w:style w:type="paragraph" w:styleId="Xl35" w:customStyle="1">
    <w:name w:val="xl35"/>
    <w:basedOn w:val="Normal"/>
    <w:qFormat/>
    <w:rsid w:val="00395c6e"/>
    <w:pPr>
      <w:pBdr>
        <w:left w:val="single" w:sz="4" w:space="0" w:color="00000A"/>
      </w:pBdr>
      <w:spacing w:beforeAutospacing="1" w:afterAutospacing="1"/>
      <w:jc w:val="center"/>
      <w:textAlignment w:val="center"/>
    </w:pPr>
    <w:rPr>
      <w:sz w:val="16"/>
      <w:szCs w:val="16"/>
    </w:rPr>
  </w:style>
  <w:style w:type="paragraph" w:styleId="Xl36" w:customStyle="1">
    <w:name w:val="xl36"/>
    <w:basedOn w:val="Normal"/>
    <w:qFormat/>
    <w:rsid w:val="00395c6e"/>
    <w:pPr>
      <w:spacing w:beforeAutospacing="1" w:afterAutospacing="1"/>
      <w:jc w:val="center"/>
      <w:textAlignment w:val="center"/>
    </w:pPr>
    <w:rPr>
      <w:sz w:val="16"/>
      <w:szCs w:val="16"/>
    </w:rPr>
  </w:style>
  <w:style w:type="paragraph" w:styleId="Xl37" w:customStyle="1">
    <w:name w:val="xl37"/>
    <w:basedOn w:val="Normal"/>
    <w:qFormat/>
    <w:rsid w:val="00395c6e"/>
    <w:pPr>
      <w:pBdr>
        <w:right w:val="single" w:sz="4" w:space="0" w:color="00000A"/>
      </w:pBdr>
      <w:spacing w:beforeAutospacing="1" w:afterAutospacing="1"/>
      <w:jc w:val="center"/>
      <w:textAlignment w:val="center"/>
    </w:pPr>
    <w:rPr>
      <w:sz w:val="16"/>
      <w:szCs w:val="16"/>
    </w:rPr>
  </w:style>
  <w:style w:type="paragraph" w:styleId="Xl38" w:customStyle="1">
    <w:name w:val="xl38"/>
    <w:basedOn w:val="Normal"/>
    <w:qFormat/>
    <w:rsid w:val="00395c6e"/>
    <w:pPr>
      <w:spacing w:beforeAutospacing="1" w:afterAutospacing="1"/>
      <w:jc w:val="center"/>
      <w:textAlignment w:val="center"/>
    </w:pPr>
    <w:rPr>
      <w:sz w:val="16"/>
      <w:szCs w:val="16"/>
    </w:rPr>
  </w:style>
  <w:style w:type="paragraph" w:styleId="Xl39" w:customStyle="1">
    <w:name w:val="xl39"/>
    <w:basedOn w:val="Normal"/>
    <w:qFormat/>
    <w:rsid w:val="00395c6e"/>
    <w:pPr>
      <w:spacing w:beforeAutospacing="1" w:afterAutospacing="1"/>
      <w:jc w:val="center"/>
    </w:pPr>
    <w:rPr>
      <w:sz w:val="16"/>
      <w:szCs w:val="16"/>
    </w:rPr>
  </w:style>
  <w:style w:type="paragraph" w:styleId="Xl40" w:customStyle="1">
    <w:name w:val="xl40"/>
    <w:basedOn w:val="Normal"/>
    <w:qFormat/>
    <w:rsid w:val="00395c6e"/>
    <w:pPr>
      <w:pBdr>
        <w:top w:val="single" w:sz="4" w:space="0" w:color="00000A"/>
      </w:pBdr>
      <w:spacing w:beforeAutospacing="1" w:afterAutospacing="1"/>
      <w:jc w:val="center"/>
    </w:pPr>
    <w:rPr>
      <w:sz w:val="16"/>
      <w:szCs w:val="16"/>
    </w:rPr>
  </w:style>
  <w:style w:type="paragraph" w:styleId="Xl41" w:customStyle="1">
    <w:name w:val="xl41"/>
    <w:basedOn w:val="Normal"/>
    <w:qFormat/>
    <w:rsid w:val="00395c6e"/>
    <w:pPr>
      <w:pBdr>
        <w:left w:val="single" w:sz="4" w:space="0" w:color="00000A"/>
        <w:right w:val="single" w:sz="4" w:space="0" w:color="00000A"/>
      </w:pBdr>
      <w:spacing w:beforeAutospacing="1" w:afterAutospacing="1"/>
      <w:jc w:val="center"/>
      <w:textAlignment w:val="center"/>
    </w:pPr>
    <w:rPr>
      <w:sz w:val="16"/>
      <w:szCs w:val="16"/>
    </w:rPr>
  </w:style>
  <w:style w:type="paragraph" w:styleId="Xl42" w:customStyle="1">
    <w:name w:val="xl42"/>
    <w:basedOn w:val="Normal"/>
    <w:qFormat/>
    <w:rsid w:val="00395c6e"/>
    <w:pPr>
      <w:pBdr>
        <w:left w:val="single" w:sz="4" w:space="0" w:color="00000A"/>
        <w:bottom w:val="single" w:sz="4" w:space="0" w:color="00000A"/>
        <w:right w:val="single" w:sz="4" w:space="0" w:color="00000A"/>
      </w:pBdr>
      <w:spacing w:beforeAutospacing="1" w:afterAutospacing="1"/>
      <w:jc w:val="center"/>
    </w:pPr>
    <w:rPr>
      <w:sz w:val="16"/>
      <w:szCs w:val="16"/>
    </w:rPr>
  </w:style>
  <w:style w:type="paragraph" w:styleId="Xl43" w:customStyle="1">
    <w:name w:val="xl43"/>
    <w:basedOn w:val="Normal"/>
    <w:qFormat/>
    <w:rsid w:val="00395c6e"/>
    <w:pPr>
      <w:pBdr>
        <w:left w:val="single" w:sz="4" w:space="0" w:color="00000A"/>
        <w:right w:val="single" w:sz="4" w:space="0" w:color="00000A"/>
      </w:pBdr>
      <w:spacing w:beforeAutospacing="1" w:afterAutospacing="1"/>
      <w:jc w:val="center"/>
      <w:textAlignment w:val="center"/>
    </w:pPr>
    <w:rPr>
      <w:sz w:val="16"/>
      <w:szCs w:val="16"/>
    </w:rPr>
  </w:style>
  <w:style w:type="paragraph" w:styleId="Xl44" w:customStyle="1">
    <w:name w:val="xl44"/>
    <w:basedOn w:val="Normal"/>
    <w:qFormat/>
    <w:rsid w:val="00395c6e"/>
    <w:pPr>
      <w:pBdr>
        <w:top w:val="single" w:sz="4" w:space="0" w:color="00000A"/>
        <w:left w:val="single" w:sz="4" w:space="0" w:color="00000A"/>
        <w:bottom w:val="single" w:sz="4" w:space="0" w:color="00000A"/>
      </w:pBdr>
      <w:spacing w:beforeAutospacing="1" w:afterAutospacing="1"/>
      <w:jc w:val="center"/>
    </w:pPr>
    <w:rPr/>
  </w:style>
  <w:style w:type="paragraph" w:styleId="Xl45" w:customStyle="1">
    <w:name w:val="xl45"/>
    <w:basedOn w:val="Normal"/>
    <w:qFormat/>
    <w:rsid w:val="00395c6e"/>
    <w:pPr>
      <w:pBdr>
        <w:top w:val="single" w:sz="4" w:space="0" w:color="00000A"/>
        <w:bottom w:val="single" w:sz="4" w:space="0" w:color="00000A"/>
      </w:pBdr>
      <w:spacing w:beforeAutospacing="1" w:afterAutospacing="1"/>
      <w:jc w:val="center"/>
    </w:pPr>
    <w:rPr/>
  </w:style>
  <w:style w:type="paragraph" w:styleId="Xl46" w:customStyle="1">
    <w:name w:val="xl46"/>
    <w:basedOn w:val="Normal"/>
    <w:qFormat/>
    <w:rsid w:val="00395c6e"/>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sz w:val="16"/>
      <w:szCs w:val="16"/>
    </w:rPr>
  </w:style>
  <w:style w:type="paragraph" w:styleId="Xl47" w:customStyle="1">
    <w:name w:val="xl47"/>
    <w:basedOn w:val="Normal"/>
    <w:qFormat/>
    <w:rsid w:val="00395c6e"/>
    <w:pPr>
      <w:pBdr>
        <w:top w:val="single" w:sz="4" w:space="0" w:color="00000A"/>
        <w:bottom w:val="single" w:sz="4" w:space="0" w:color="00000A"/>
      </w:pBdr>
      <w:spacing w:beforeAutospacing="1" w:afterAutospacing="1"/>
      <w:jc w:val="center"/>
      <w:textAlignment w:val="center"/>
    </w:pPr>
    <w:rPr>
      <w:sz w:val="16"/>
      <w:szCs w:val="16"/>
    </w:rPr>
  </w:style>
  <w:style w:type="paragraph" w:styleId="Xl48" w:customStyle="1">
    <w:name w:val="xl48"/>
    <w:basedOn w:val="Normal"/>
    <w:qFormat/>
    <w:rsid w:val="00395c6e"/>
    <w:pPr>
      <w:pBdr>
        <w:top w:val="single" w:sz="4" w:space="0" w:color="00000A"/>
        <w:bottom w:val="single" w:sz="4" w:space="0" w:color="00000A"/>
        <w:right w:val="single" w:sz="4" w:space="0" w:color="00000A"/>
      </w:pBdr>
      <w:spacing w:beforeAutospacing="1" w:afterAutospacing="1"/>
      <w:jc w:val="center"/>
      <w:textAlignment w:val="center"/>
    </w:pPr>
    <w:rPr>
      <w:sz w:val="16"/>
      <w:szCs w:val="16"/>
    </w:rPr>
  </w:style>
  <w:style w:type="paragraph" w:styleId="Xl49" w:customStyle="1">
    <w:name w:val="xl49"/>
    <w:basedOn w:val="Normal"/>
    <w:qFormat/>
    <w:rsid w:val="00395c6e"/>
    <w:pPr>
      <w:pBdr>
        <w:left w:val="single" w:sz="4" w:space="0" w:color="00000A"/>
        <w:bottom w:val="single" w:sz="4" w:space="0" w:color="00000A"/>
        <w:right w:val="single" w:sz="4" w:space="0" w:color="00000A"/>
      </w:pBdr>
      <w:spacing w:beforeAutospacing="1" w:afterAutospacing="1"/>
      <w:jc w:val="center"/>
      <w:textAlignment w:val="center"/>
    </w:pPr>
    <w:rPr>
      <w:sz w:val="16"/>
      <w:szCs w:val="16"/>
    </w:rPr>
  </w:style>
  <w:style w:type="paragraph" w:styleId="Xl50" w:customStyle="1">
    <w:name w:val="xl50"/>
    <w:basedOn w:val="Normal"/>
    <w:qFormat/>
    <w:rsid w:val="00395c6e"/>
    <w:pPr>
      <w:pBdr>
        <w:top w:val="single" w:sz="4" w:space="0" w:color="00000A"/>
        <w:left w:val="single" w:sz="4" w:space="0" w:color="00000A"/>
        <w:right w:val="single" w:sz="4" w:space="0" w:color="00000A"/>
      </w:pBdr>
      <w:spacing w:beforeAutospacing="1" w:afterAutospacing="1"/>
      <w:jc w:val="center"/>
      <w:textAlignment w:val="center"/>
    </w:pPr>
    <w:rPr>
      <w:sz w:val="16"/>
      <w:szCs w:val="16"/>
    </w:rPr>
  </w:style>
  <w:style w:type="paragraph" w:styleId="Xl51" w:customStyle="1">
    <w:name w:val="xl51"/>
    <w:basedOn w:val="Normal"/>
    <w:qFormat/>
    <w:rsid w:val="00395c6e"/>
    <w:pPr>
      <w:pBdr>
        <w:left w:val="single" w:sz="4" w:space="0" w:color="00000A"/>
        <w:bottom w:val="single" w:sz="4" w:space="0" w:color="00000A"/>
        <w:right w:val="single" w:sz="4" w:space="0" w:color="00000A"/>
      </w:pBdr>
      <w:spacing w:beforeAutospacing="1" w:afterAutospacing="1"/>
      <w:jc w:val="center"/>
      <w:textAlignment w:val="center"/>
    </w:pPr>
    <w:rPr>
      <w:sz w:val="16"/>
      <w:szCs w:val="16"/>
    </w:rPr>
  </w:style>
  <w:style w:type="paragraph" w:styleId="Xl52" w:customStyle="1">
    <w:name w:val="xl52"/>
    <w:basedOn w:val="Normal"/>
    <w:qFormat/>
    <w:rsid w:val="00395c6e"/>
    <w:pPr>
      <w:pBdr>
        <w:top w:val="single" w:sz="4" w:space="0" w:color="00000A"/>
        <w:bottom w:val="single" w:sz="4" w:space="0" w:color="00000A"/>
      </w:pBdr>
      <w:spacing w:beforeAutospacing="1" w:afterAutospacing="1"/>
      <w:jc w:val="center"/>
    </w:pPr>
    <w:rPr>
      <w:sz w:val="16"/>
      <w:szCs w:val="16"/>
    </w:rPr>
  </w:style>
  <w:style w:type="paragraph" w:styleId="Xl53" w:customStyle="1">
    <w:name w:val="xl53"/>
    <w:basedOn w:val="Normal"/>
    <w:qFormat/>
    <w:rsid w:val="00395c6e"/>
    <w:pPr>
      <w:pBdr>
        <w:top w:val="single" w:sz="4" w:space="0" w:color="00000A"/>
        <w:bottom w:val="single" w:sz="4" w:space="0" w:color="00000A"/>
        <w:right w:val="single" w:sz="4" w:space="0" w:color="00000A"/>
      </w:pBdr>
      <w:spacing w:beforeAutospacing="1" w:afterAutospacing="1"/>
      <w:jc w:val="center"/>
    </w:pPr>
    <w:rPr>
      <w:sz w:val="16"/>
      <w:szCs w:val="16"/>
    </w:rPr>
  </w:style>
  <w:style w:type="paragraph" w:styleId="Xl54" w:customStyle="1">
    <w:name w:val="xl54"/>
    <w:basedOn w:val="Normal"/>
    <w:qFormat/>
    <w:rsid w:val="00395c6e"/>
    <w:pPr>
      <w:pBdr>
        <w:top w:val="single" w:sz="4" w:space="0" w:color="00000A"/>
        <w:left w:val="single" w:sz="4" w:space="0" w:color="00000A"/>
        <w:right w:val="single" w:sz="4" w:space="0" w:color="00000A"/>
      </w:pBdr>
      <w:spacing w:beforeAutospacing="1" w:afterAutospacing="1"/>
      <w:jc w:val="center"/>
      <w:textAlignment w:val="center"/>
    </w:pPr>
    <w:rPr>
      <w:sz w:val="16"/>
      <w:szCs w:val="16"/>
    </w:rPr>
  </w:style>
  <w:style w:type="paragraph" w:styleId="Xl55" w:customStyle="1">
    <w:name w:val="xl55"/>
    <w:basedOn w:val="Normal"/>
    <w:qFormat/>
    <w:rsid w:val="00395c6e"/>
    <w:pPr>
      <w:pBdr>
        <w:top w:val="single" w:sz="4" w:space="0" w:color="00000A"/>
        <w:bottom w:val="single" w:sz="4" w:space="0" w:color="00000A"/>
        <w:right w:val="single" w:sz="4" w:space="0" w:color="00000A"/>
      </w:pBdr>
      <w:spacing w:beforeAutospacing="1" w:afterAutospacing="1"/>
      <w:jc w:val="center"/>
    </w:pPr>
    <w:rPr/>
  </w:style>
  <w:style w:type="paragraph" w:styleId="16" w:customStyle="1">
    <w:name w:val="Знак Знак1 Знак"/>
    <w:basedOn w:val="Normal"/>
    <w:qFormat/>
    <w:rsid w:val="00395c6e"/>
    <w:pPr>
      <w:widowControl w:val="false"/>
      <w:spacing w:lineRule="exact" w:line="240" w:before="0" w:after="160"/>
      <w:jc w:val="right"/>
    </w:pPr>
    <w:rPr>
      <w:sz w:val="20"/>
      <w:szCs w:val="20"/>
      <w:lang w:val="en-GB" w:eastAsia="en-US"/>
    </w:rPr>
  </w:style>
  <w:style w:type="paragraph" w:styleId="ConsPlusNormal" w:customStyle="1">
    <w:name w:val="ConsPlusNormal"/>
    <w:qFormat/>
    <w:rsid w:val="00395c6e"/>
    <w:pPr>
      <w:widowControl w:val="false"/>
      <w:suppressAutoHyphens w:val="true"/>
      <w:bidi w:val="0"/>
      <w:spacing w:lineRule="auto" w:line="240" w:before="0" w:after="0"/>
      <w:ind w:firstLine="720"/>
      <w:jc w:val="left"/>
    </w:pPr>
    <w:rPr>
      <w:rFonts w:ascii="Arial" w:hAnsi="Arial" w:eastAsia="Arial" w:cs="Arial"/>
      <w:color w:val="auto"/>
      <w:sz w:val="20"/>
      <w:szCs w:val="20"/>
      <w:lang w:eastAsia="ar-SA" w:val="ru-RU" w:bidi="ar-SA"/>
    </w:rPr>
  </w:style>
  <w:style w:type="paragraph" w:styleId="Style36" w:customStyle="1">
    <w:name w:val="Основа"/>
    <w:basedOn w:val="Normal"/>
    <w:qFormat/>
    <w:rsid w:val="00395c6e"/>
    <w:pPr>
      <w:spacing w:before="120" w:after="0"/>
      <w:ind w:firstLine="720"/>
      <w:jc w:val="both"/>
    </w:pPr>
    <w:rPr>
      <w:szCs w:val="20"/>
    </w:rPr>
  </w:style>
  <w:style w:type="paragraph" w:styleId="Preformatted" w:customStyle="1">
    <w:name w:val="Preformatted"/>
    <w:basedOn w:val="Normal"/>
    <w:qFormat/>
    <w:rsid w:val="00395c6e"/>
    <w:pPr>
      <w:tabs>
        <w:tab w:val="left" w:pos="0"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suppressAutoHyphens w:val="true"/>
    </w:pPr>
    <w:rPr>
      <w:rFonts w:ascii="Courier New" w:hAnsi="Courier New"/>
      <w:sz w:val="20"/>
      <w:szCs w:val="20"/>
      <w:lang w:eastAsia="ar-SA"/>
    </w:rPr>
  </w:style>
  <w:style w:type="paragraph" w:styleId="Style37" w:customStyle="1">
    <w:name w:val="_текст"/>
    <w:basedOn w:val="Normal"/>
    <w:qFormat/>
    <w:rsid w:val="00395c6e"/>
    <w:pPr>
      <w:suppressAutoHyphens w:val="true"/>
      <w:ind w:firstLine="709"/>
      <w:jc w:val="both"/>
    </w:pPr>
    <w:rPr>
      <w:lang w:eastAsia="ar-SA"/>
    </w:rPr>
  </w:style>
  <w:style w:type="paragraph" w:styleId="43" w:customStyle="1">
    <w:name w:val="Основной текст (4)"/>
    <w:basedOn w:val="Normal"/>
    <w:link w:val="41"/>
    <w:qFormat/>
    <w:rsid w:val="00395c6e"/>
    <w:pPr>
      <w:shd w:val="clear" w:color="auto" w:fill="FFFFFF"/>
      <w:spacing w:lineRule="atLeast" w:line="240"/>
    </w:pPr>
    <w:rPr>
      <w:rFonts w:ascii="Arial" w:hAnsi="Arial" w:eastAsia="Calibri" w:cs="" w:cstheme="minorBidi" w:eastAsiaTheme="minorHAnsi"/>
      <w:b/>
      <w:bCs/>
      <w:sz w:val="19"/>
      <w:szCs w:val="19"/>
      <w:lang w:eastAsia="en-US"/>
    </w:rPr>
  </w:style>
  <w:style w:type="paragraph" w:styleId="63" w:customStyle="1">
    <w:name w:val="Основной текст (6)"/>
    <w:basedOn w:val="Normal"/>
    <w:link w:val="61"/>
    <w:qFormat/>
    <w:rsid w:val="00395c6e"/>
    <w:pPr>
      <w:shd w:val="clear" w:color="auto" w:fill="FFFFFF"/>
      <w:spacing w:lineRule="atLeast" w:line="240" w:before="300" w:after="0"/>
    </w:pPr>
    <w:rPr>
      <w:rFonts w:ascii="Arial Narrow" w:hAnsi="Arial Narrow" w:eastAsia="Calibri" w:cs="" w:cstheme="minorBidi" w:eastAsiaTheme="minorHAnsi"/>
      <w:spacing w:val="90"/>
      <w:sz w:val="15"/>
      <w:szCs w:val="15"/>
      <w:lang w:eastAsia="en-US"/>
    </w:rPr>
  </w:style>
  <w:style w:type="paragraph" w:styleId="ConsNormal" w:customStyle="1">
    <w:name w:val="ConsNormal"/>
    <w:qFormat/>
    <w:rsid w:val="00395c6e"/>
    <w:pPr>
      <w:widowControl w:val="false"/>
      <w:bidi w:val="0"/>
      <w:spacing w:lineRule="auto" w:line="240" w:before="0" w:after="0"/>
      <w:ind w:right="19772" w:firstLine="720"/>
      <w:jc w:val="left"/>
    </w:pPr>
    <w:rPr>
      <w:rFonts w:ascii="Arial" w:hAnsi="Arial" w:eastAsia="Times New Roman" w:cs="Arial"/>
      <w:color w:val="auto"/>
      <w:sz w:val="20"/>
      <w:szCs w:val="20"/>
      <w:lang w:eastAsia="ru-RU" w:val="ru-RU" w:bidi="ar-SA"/>
    </w:rPr>
  </w:style>
  <w:style w:type="paragraph" w:styleId="S" w:customStyle="1">
    <w:name w:val="S_Титульный"/>
    <w:basedOn w:val="Normal"/>
    <w:qFormat/>
    <w:rsid w:val="00395c6e"/>
    <w:pPr>
      <w:spacing w:lineRule="auto" w:line="360"/>
      <w:ind w:left="3240" w:hanging="0"/>
      <w:jc w:val="right"/>
    </w:pPr>
    <w:rPr>
      <w:b/>
      <w:sz w:val="32"/>
      <w:szCs w:val="32"/>
    </w:rPr>
  </w:style>
  <w:style w:type="paragraph" w:styleId="Style38" w:customStyle="1">
    <w:name w:val="ТЕКСТ ГРАД"/>
    <w:basedOn w:val="Normal"/>
    <w:link w:val="affa"/>
    <w:qFormat/>
    <w:rsid w:val="00395c6e"/>
    <w:pPr>
      <w:spacing w:lineRule="auto" w:line="360"/>
      <w:ind w:firstLine="709"/>
      <w:jc w:val="both"/>
    </w:pPr>
    <w:rPr>
      <w:rFonts w:ascii="Calibri" w:hAnsi="Calibri" w:eastAsia="Calibri" w:cs="" w:asciiTheme="minorHAnsi" w:cstheme="minorBidi" w:eastAsiaTheme="minorHAnsi" w:hAnsiTheme="minorHAnsi"/>
      <w:lang w:eastAsia="en-US"/>
    </w:rPr>
  </w:style>
  <w:style w:type="paragraph" w:styleId="NoSpacing">
    <w:name w:val="No Spacing"/>
    <w:link w:val="affd"/>
    <w:qFormat/>
    <w:rsid w:val="00395c6e"/>
    <w:pPr>
      <w:widowControl/>
      <w:bidi w:val="0"/>
      <w:spacing w:lineRule="auto" w:line="240" w:before="0" w:after="0"/>
      <w:jc w:val="left"/>
    </w:pPr>
    <w:rPr>
      <w:rFonts w:ascii="Calibri" w:hAnsi="Calibri" w:eastAsia="Times New Roman" w:cs="Times New Roman" w:asciiTheme="minorHAnsi" w:hAnsiTheme="minorHAnsi"/>
      <w:color w:val="auto"/>
      <w:sz w:val="24"/>
      <w:szCs w:val="22"/>
      <w:lang w:eastAsia="ru-RU" w:val="ru-RU" w:bidi="ar-SA"/>
    </w:rPr>
  </w:style>
  <w:style w:type="paragraph" w:styleId="17">
    <w:name w:val="TOC 1"/>
    <w:basedOn w:val="Normal"/>
    <w:autoRedefine/>
    <w:uiPriority w:val="39"/>
    <w:qFormat/>
    <w:rsid w:val="00395c6e"/>
    <w:pPr>
      <w:tabs>
        <w:tab w:val="left" w:pos="7230" w:leader="none"/>
        <w:tab w:val="left" w:pos="7797" w:leader="none"/>
        <w:tab w:val="left" w:pos="10065" w:leader="none"/>
      </w:tabs>
      <w:ind w:firstLine="284"/>
      <w:jc w:val="both"/>
    </w:pPr>
    <w:rPr/>
  </w:style>
  <w:style w:type="paragraph" w:styleId="26">
    <w:name w:val="TOC 2"/>
    <w:basedOn w:val="Normal"/>
    <w:autoRedefine/>
    <w:uiPriority w:val="39"/>
    <w:qFormat/>
    <w:rsid w:val="00395c6e"/>
    <w:pPr>
      <w:ind w:left="240" w:hanging="0"/>
    </w:pPr>
    <w:rPr/>
  </w:style>
  <w:style w:type="paragraph" w:styleId="TOCHeading">
    <w:name w:val="TOC Heading"/>
    <w:basedOn w:val="1"/>
    <w:uiPriority w:val="39"/>
    <w:qFormat/>
    <w:rsid w:val="00395c6e"/>
    <w:pPr>
      <w:keepNext/>
      <w:keepLines/>
      <w:spacing w:lineRule="auto" w:line="276" w:beforeAutospacing="0" w:before="480" w:afterAutospacing="0" w:after="0"/>
    </w:pPr>
    <w:rPr>
      <w:rFonts w:ascii="Cambria" w:hAnsi="Cambria"/>
      <w:color w:val="365F91"/>
      <w:sz w:val="28"/>
      <w:szCs w:val="28"/>
    </w:rPr>
  </w:style>
  <w:style w:type="paragraph" w:styleId="35">
    <w:name w:val="TOC 3"/>
    <w:basedOn w:val="Normal"/>
    <w:autoRedefine/>
    <w:uiPriority w:val="39"/>
    <w:unhideWhenUsed/>
    <w:qFormat/>
    <w:rsid w:val="00395c6e"/>
    <w:pPr>
      <w:spacing w:lineRule="auto" w:line="276" w:before="0" w:after="100"/>
      <w:ind w:left="440" w:hanging="0"/>
    </w:pPr>
    <w:rPr>
      <w:rFonts w:ascii="Calibri" w:hAnsi="Calibri"/>
      <w:sz w:val="22"/>
      <w:szCs w:val="22"/>
    </w:rPr>
  </w:style>
  <w:style w:type="paragraph" w:styleId="18" w:customStyle="1">
    <w:name w:val="Абзац списка1"/>
    <w:basedOn w:val="Normal"/>
    <w:link w:val="ListParagraphChar"/>
    <w:qFormat/>
    <w:rsid w:val="00395c6e"/>
    <w:pPr>
      <w:spacing w:lineRule="auto" w:line="360" w:before="0" w:after="200"/>
      <w:ind w:left="720" w:hanging="0"/>
      <w:contextualSpacing/>
    </w:pPr>
    <w:rPr>
      <w:sz w:val="28"/>
      <w:szCs w:val="20"/>
    </w:rPr>
  </w:style>
  <w:style w:type="paragraph" w:styleId="19" w:customStyle="1">
    <w:name w:val="Без интервала1"/>
    <w:link w:val="NoSpacingChar"/>
    <w:qFormat/>
    <w:rsid w:val="00395c6e"/>
    <w:pPr>
      <w:widowControl/>
      <w:bidi w:val="0"/>
      <w:spacing w:lineRule="auto" w:line="240" w:before="0" w:after="0"/>
      <w:jc w:val="left"/>
    </w:pPr>
    <w:rPr>
      <w:rFonts w:ascii="Calibri" w:hAnsi="Calibri" w:eastAsia="Times New Roman" w:cs="Times New Roman" w:asciiTheme="minorHAnsi" w:hAnsiTheme="minorHAnsi"/>
      <w:color w:val="auto"/>
      <w:sz w:val="24"/>
      <w:szCs w:val="22"/>
      <w:lang w:val="ru-RU" w:eastAsia="en-US" w:bidi="ar-SA"/>
    </w:rPr>
  </w:style>
  <w:style w:type="paragraph" w:styleId="27" w:customStyle="1">
    <w:name w:val="Стиль2"/>
    <w:basedOn w:val="PlainText"/>
    <w:autoRedefine/>
    <w:qFormat/>
    <w:rsid w:val="00395c6e"/>
    <w:pPr>
      <w:jc w:val="center"/>
      <w:outlineLvl w:val="0"/>
    </w:pPr>
    <w:rPr>
      <w:rFonts w:ascii="Times New Roman" w:hAnsi="Times New Roman"/>
      <w:b/>
      <w:caps/>
      <w:sz w:val="24"/>
    </w:rPr>
  </w:style>
  <w:style w:type="paragraph" w:styleId="Style39">
    <w:name w:val="Subtitle"/>
    <w:basedOn w:val="Normal"/>
    <w:link w:val="afff1"/>
    <w:qFormat/>
    <w:rsid w:val="00395c6e"/>
    <w:pPr>
      <w:jc w:val="center"/>
    </w:pPr>
    <w:rPr>
      <w:szCs w:val="20"/>
    </w:rPr>
  </w:style>
  <w:style w:type="paragraph" w:styleId="BlockText">
    <w:name w:val="Block Text"/>
    <w:basedOn w:val="Normal"/>
    <w:unhideWhenUsed/>
    <w:qFormat/>
    <w:rsid w:val="00395c6e"/>
    <w:pPr>
      <w:ind w:left="-108" w:right="-108" w:hanging="0"/>
      <w:jc w:val="center"/>
    </w:pPr>
    <w:rPr/>
  </w:style>
  <w:style w:type="paragraph" w:styleId="Annotationsubject">
    <w:name w:val="annotation subject"/>
    <w:basedOn w:val="Annotationtext"/>
    <w:link w:val="afff4"/>
    <w:unhideWhenUsed/>
    <w:qFormat/>
    <w:rsid w:val="00395c6e"/>
    <w:pPr>
      <w:jc w:val="left"/>
    </w:pPr>
    <w:rPr>
      <w:rFonts w:ascii="Times New Roman" w:hAnsi="Times New Roman"/>
      <w:b/>
      <w:bCs/>
      <w:sz w:val="20"/>
      <w:lang w:val="ru-RU"/>
    </w:rPr>
  </w:style>
  <w:style w:type="paragraph" w:styleId="Style40" w:customStyle="1">
    <w:name w:val="Переменные"/>
    <w:basedOn w:val="Style25"/>
    <w:qFormat/>
    <w:rsid w:val="00395c6e"/>
    <w:pPr>
      <w:tabs>
        <w:tab w:val="left" w:pos="482" w:leader="none"/>
      </w:tabs>
      <w:spacing w:lineRule="auto" w:line="336" w:before="0" w:after="0"/>
      <w:ind w:left="482" w:hanging="482"/>
      <w:jc w:val="both"/>
    </w:pPr>
    <w:rPr>
      <w:sz w:val="28"/>
      <w:szCs w:val="20"/>
      <w:lang w:val="uk-UA"/>
    </w:rPr>
  </w:style>
  <w:style w:type="paragraph" w:styleId="72" w:customStyle="1">
    <w:name w:val="çàãîëîâîê 7"/>
    <w:basedOn w:val="Normal"/>
    <w:qFormat/>
    <w:rsid w:val="00395c6e"/>
    <w:pPr>
      <w:keepNext/>
      <w:jc w:val="center"/>
    </w:pPr>
    <w:rPr/>
  </w:style>
  <w:style w:type="paragraph" w:styleId="ConsPlusNonformat" w:customStyle="1">
    <w:name w:val="ConsPlusNonformat"/>
    <w:qFormat/>
    <w:rsid w:val="00395c6e"/>
    <w:pPr>
      <w:widowControl w:val="false"/>
      <w:bidi w:val="0"/>
      <w:spacing w:lineRule="auto" w:line="240" w:before="0" w:after="0"/>
      <w:jc w:val="left"/>
    </w:pPr>
    <w:rPr>
      <w:rFonts w:ascii="Courier New" w:hAnsi="Courier New" w:eastAsia="Times New Roman" w:cs="Courier New"/>
      <w:color w:val="auto"/>
      <w:sz w:val="20"/>
      <w:szCs w:val="20"/>
      <w:lang w:eastAsia="ru-RU" w:val="ru-RU" w:bidi="ar-SA"/>
    </w:rPr>
  </w:style>
  <w:style w:type="paragraph" w:styleId="211" w:customStyle="1">
    <w:name w:val="Основной текст 21"/>
    <w:basedOn w:val="Normal"/>
    <w:qFormat/>
    <w:rsid w:val="00395c6e"/>
    <w:pPr>
      <w:ind w:right="-1192" w:hanging="0"/>
    </w:pPr>
    <w:rPr>
      <w:sz w:val="28"/>
      <w:szCs w:val="20"/>
    </w:rPr>
  </w:style>
  <w:style w:type="paragraph" w:styleId="FR2" w:customStyle="1">
    <w:name w:val="FR2"/>
    <w:qFormat/>
    <w:rsid w:val="00395c6e"/>
    <w:pPr>
      <w:widowControl w:val="false"/>
      <w:bidi w:val="0"/>
      <w:spacing w:lineRule="auto" w:line="240" w:before="340" w:after="0"/>
      <w:jc w:val="center"/>
    </w:pPr>
    <w:rPr>
      <w:rFonts w:ascii="Arial" w:hAnsi="Arial" w:eastAsia="Times New Roman" w:cs="Arial"/>
      <w:b/>
      <w:bCs/>
      <w:color w:val="auto"/>
      <w:sz w:val="32"/>
      <w:szCs w:val="32"/>
      <w:lang w:eastAsia="ru-RU" w:val="ru-RU" w:bidi="ar-SA"/>
    </w:rPr>
  </w:style>
  <w:style w:type="paragraph" w:styleId="Style41" w:customStyle="1">
    <w:name w:val="Содержимое таблицы"/>
    <w:basedOn w:val="Normal"/>
    <w:qFormat/>
    <w:rsid w:val="00395c6e"/>
    <w:pPr>
      <w:widowControl w:val="false"/>
      <w:suppressLineNumbers/>
      <w:suppressAutoHyphens w:val="true"/>
    </w:pPr>
    <w:rPr>
      <w:rFonts w:ascii="Arial" w:hAnsi="Arial" w:eastAsia="Arial Unicode MS" w:cs="Tahoma"/>
    </w:rPr>
  </w:style>
  <w:style w:type="paragraph" w:styleId="110" w:customStyle="1">
    <w:name w:val="Стиль1"/>
    <w:basedOn w:val="1"/>
    <w:autoRedefine/>
    <w:qFormat/>
    <w:rsid w:val="00395c6e"/>
    <w:pPr>
      <w:spacing w:beforeAutospacing="0" w:before="0" w:afterAutospacing="0" w:after="0"/>
      <w:jc w:val="center"/>
    </w:pPr>
    <w:rPr>
      <w:rFonts w:ascii="Arial" w:hAnsi="Arial"/>
      <w:bCs w:val="false"/>
      <w:sz w:val="22"/>
      <w:szCs w:val="22"/>
    </w:rPr>
  </w:style>
  <w:style w:type="paragraph" w:styleId="FR4" w:customStyle="1">
    <w:name w:val="FR4"/>
    <w:qFormat/>
    <w:rsid w:val="00395c6e"/>
    <w:pPr>
      <w:widowControl w:val="false"/>
      <w:bidi w:val="0"/>
      <w:spacing w:lineRule="auto" w:line="240" w:before="380" w:after="0"/>
      <w:ind w:left="1760" w:hanging="0"/>
      <w:jc w:val="left"/>
    </w:pPr>
    <w:rPr>
      <w:rFonts w:ascii="Courier New" w:hAnsi="Courier New" w:eastAsia="Times New Roman" w:cs="Courier New"/>
      <w:b/>
      <w:bCs/>
      <w:color w:val="auto"/>
      <w:sz w:val="24"/>
      <w:szCs w:val="24"/>
      <w:lang w:eastAsia="ru-RU" w:val="ru-RU" w:bidi="ar-SA"/>
    </w:rPr>
  </w:style>
  <w:style w:type="paragraph" w:styleId="1002" w:customStyle="1">
    <w:name w:val="Стиль 10 пт полужирный По центру Слева:  -02 см Первая строка:..."/>
    <w:basedOn w:val="Normal"/>
    <w:qFormat/>
    <w:rsid w:val="00395c6e"/>
    <w:pPr>
      <w:widowControl w:val="false"/>
      <w:spacing w:before="120" w:after="0"/>
      <w:ind w:left="-113" w:right="-113" w:firstLine="720"/>
      <w:jc w:val="center"/>
    </w:pPr>
    <w:rPr>
      <w:b/>
      <w:bCs/>
      <w:sz w:val="20"/>
      <w:szCs w:val="20"/>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styleId="ab">
    <w:name w:val="Table Grid"/>
    <w:basedOn w:val="a1"/>
    <w:rsid w:val="00395c6e"/>
    <w:pPr>
      <w:spacing w:after="0" w:line="240" w:lineRule="auto"/>
    </w:pPr>
    <w:rPr>
      <w:lang w:eastAsia="ru-RU"/>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footer" Target="footer3.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Relationship Id="rId3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1956B-6A17-4382-98B2-FC11A79D6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Application>LibreOffice/5.1.4.2$Windows_x86 LibreOffice_project/f99d75f39f1c57ebdd7ffc5f42867c12031db97a</Application>
  <Pages>90</Pages>
  <Words>16231</Words>
  <Characters>119691</Characters>
  <CharactersWithSpaces>137596</CharactersWithSpaces>
  <Paragraphs>2007</Paragraphs>
  <Company>Home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2016-09-05T03:50:00Z</dcterms:created>
  <dc:creator>Duma</dc:creator>
  <dc:description/>
  <dc:language>ru-RU</dc:language>
  <cp:lastModifiedBy/>
  <cp:lastPrinted>2016-09-05T02:37:00Z</cp:lastPrinted>
  <dcterms:modified xsi:type="dcterms:W3CDTF">2017-03-16T13:37:18Z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